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BC0B0D">
      <w:pPr>
        <w:rPr>
          <w:rFonts w:ascii="Gudea" w:hAnsi="Gudea"/>
        </w:rPr>
      </w:pPr>
    </w:p>
    <w:p w14:paraId="43EF7513" w14:textId="22A3D408" w:rsidR="00CE2C74" w:rsidRPr="00CE2C74" w:rsidRDefault="0094020C" w:rsidP="00CE2C74">
      <w:pPr>
        <w:tabs>
          <w:tab w:val="left" w:pos="5220"/>
        </w:tabs>
        <w:rPr>
          <w:rFonts w:ascii="Gudea" w:hAnsi="Gudea"/>
          <w:sz w:val="48"/>
          <w:szCs w:val="48"/>
        </w:rPr>
      </w:pPr>
      <w:r>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488AB47" w14:textId="77777777" w:rsidR="00C41603" w:rsidRPr="00077E86" w:rsidRDefault="00C41603" w:rsidP="00C41603">
                            <w:pPr>
                              <w:rPr>
                                <w:rFonts w:ascii="Gudea" w:hAnsi="Gudea"/>
                                <w:color w:val="FFFFFF" w:themeColor="background1"/>
                                <w:sz w:val="56"/>
                                <w:szCs w:val="56"/>
                              </w:rPr>
                            </w:pPr>
                          </w:p>
                          <w:p w14:paraId="7A1F8939" w14:textId="77777777" w:rsidR="00C41603" w:rsidRDefault="00C41603" w:rsidP="00C41603">
                            <w:pPr>
                              <w:jc w:val="center"/>
                              <w:rPr>
                                <w:rFonts w:ascii="Gudea" w:hAnsi="Gudea"/>
                                <w:b/>
                                <w:bCs/>
                                <w:color w:val="FFFFFF" w:themeColor="background1"/>
                                <w:sz w:val="52"/>
                                <w:szCs w:val="48"/>
                              </w:rPr>
                            </w:pPr>
                          </w:p>
                          <w:p w14:paraId="26E04605" w14:textId="77777777" w:rsidR="00C41603" w:rsidRPr="00F41B05" w:rsidRDefault="00C41603" w:rsidP="00C41603">
                            <w:pPr>
                              <w:jc w:val="center"/>
                              <w:rPr>
                                <w:rFonts w:ascii="Gudea" w:hAnsi="Gudea"/>
                                <w:b/>
                                <w:bCs/>
                                <w:color w:val="FFFFFF" w:themeColor="background1"/>
                                <w:sz w:val="52"/>
                                <w:szCs w:val="48"/>
                              </w:rPr>
                            </w:pPr>
                            <w:r>
                              <w:rPr>
                                <w:rFonts w:ascii="Gudea" w:hAnsi="Gudea"/>
                                <w:b/>
                                <w:bCs/>
                                <w:color w:val="FFFFFF" w:themeColor="background1"/>
                                <w:sz w:val="52"/>
                                <w:szCs w:val="48"/>
                              </w:rPr>
                              <w:t>R</w:t>
                            </w:r>
                            <w:r w:rsidRPr="00077E86">
                              <w:rPr>
                                <w:rFonts w:ascii="Gudea" w:hAnsi="Gudea"/>
                                <w:b/>
                                <w:bCs/>
                                <w:color w:val="FFFFFF" w:themeColor="background1"/>
                                <w:sz w:val="52"/>
                                <w:szCs w:val="48"/>
                              </w:rPr>
                              <w:t>eport on foundation governance, cf. section 77a of the Danish Financial Statements Act</w:t>
                            </w:r>
                          </w:p>
                          <w:p w14:paraId="04EB0077" w14:textId="77777777" w:rsidR="00C41603" w:rsidRPr="00077E86" w:rsidRDefault="00C41603" w:rsidP="00C41603">
                            <w:pPr>
                              <w:rPr>
                                <w:rFonts w:ascii="Gudea" w:hAnsi="Gudea"/>
                                <w:color w:val="FFFFFF" w:themeColor="background1"/>
                                <w:sz w:val="56"/>
                                <w:szCs w:val="56"/>
                              </w:rPr>
                            </w:pPr>
                          </w:p>
                          <w:p w14:paraId="467D961E" w14:textId="77777777" w:rsidR="00C41603" w:rsidRPr="00077E86" w:rsidRDefault="00C41603" w:rsidP="00C41603">
                            <w:pPr>
                              <w:jc w:val="center"/>
                              <w:rPr>
                                <w:rFonts w:ascii="Gudea" w:hAnsi="Gudea"/>
                                <w:i/>
                                <w:iCs/>
                                <w:color w:val="FFFFFF" w:themeColor="background1"/>
                                <w:sz w:val="82"/>
                                <w:szCs w:val="82"/>
                              </w:rPr>
                            </w:pPr>
                            <w:r w:rsidRPr="00077E86">
                              <w:rPr>
                                <w:rFonts w:ascii="Gudea" w:hAnsi="Gudea"/>
                                <w:i/>
                                <w:iCs/>
                                <w:color w:val="FFFFFF" w:themeColor="background1"/>
                                <w:sz w:val="82"/>
                                <w:szCs w:val="82"/>
                              </w:rPr>
                              <w:t>[Name of the commercial foundation]</w:t>
                            </w:r>
                          </w:p>
                          <w:p w14:paraId="5AF4E246" w14:textId="77777777" w:rsidR="00C41603" w:rsidRPr="00EC463C" w:rsidRDefault="00C41603" w:rsidP="00C41603">
                            <w:pPr>
                              <w:jc w:val="center"/>
                              <w:rPr>
                                <w:rFonts w:ascii="Gudea" w:hAnsi="Gudea"/>
                                <w:b/>
                                <w:bCs/>
                                <w:i/>
                                <w:iCs/>
                                <w:color w:val="FFFFFF" w:themeColor="background1"/>
                                <w:sz w:val="32"/>
                                <w:szCs w:val="32"/>
                              </w:rPr>
                            </w:pPr>
                            <w:r w:rsidRPr="00EC463C">
                              <w:rPr>
                                <w:rFonts w:ascii="Gudea" w:hAnsi="Gudea"/>
                                <w:b/>
                                <w:bCs/>
                                <w:i/>
                                <w:iCs/>
                                <w:color w:val="FFFFFF" w:themeColor="background1"/>
                                <w:sz w:val="32"/>
                                <w:szCs w:val="32"/>
                              </w:rPr>
                              <w:t>[the foundation's accounting period]</w:t>
                            </w:r>
                          </w:p>
                          <w:p w14:paraId="7F998E6A" w14:textId="77777777" w:rsidR="00C41603" w:rsidRPr="00077E86" w:rsidRDefault="00C41603" w:rsidP="00C41603">
                            <w:pPr>
                              <w:jc w:val="center"/>
                              <w:rPr>
                                <w:rFonts w:ascii="Gudea" w:hAnsi="Gudea"/>
                                <w:b/>
                                <w:bCs/>
                                <w:i/>
                                <w:iCs/>
                                <w:color w:val="FFFFFF" w:themeColor="background1"/>
                                <w:sz w:val="26"/>
                                <w:szCs w:val="22"/>
                              </w:rPr>
                            </w:pPr>
                          </w:p>
                          <w:p w14:paraId="40F9636E" w14:textId="77777777" w:rsidR="00C41603" w:rsidRDefault="00C41603" w:rsidP="00C41603">
                            <w:pPr>
                              <w:jc w:val="center"/>
                              <w:rPr>
                                <w:rFonts w:ascii="Gudea" w:hAnsi="Gudea"/>
                                <w:color w:val="FFFFFF" w:themeColor="background1"/>
                                <w:sz w:val="26"/>
                                <w:szCs w:val="22"/>
                              </w:rPr>
                            </w:pPr>
                          </w:p>
                          <w:p w14:paraId="3A685498" w14:textId="77777777" w:rsidR="00C41603" w:rsidRDefault="00C41603" w:rsidP="00C41603">
                            <w:pPr>
                              <w:jc w:val="center"/>
                              <w:rPr>
                                <w:rFonts w:ascii="Gudea" w:hAnsi="Gudea"/>
                                <w:color w:val="FFFFFF" w:themeColor="background1"/>
                                <w:sz w:val="26"/>
                                <w:szCs w:val="22"/>
                              </w:rPr>
                            </w:pPr>
                          </w:p>
                          <w:p w14:paraId="4F8218B2" w14:textId="77777777" w:rsidR="00C41603" w:rsidRDefault="00C41603" w:rsidP="00C41603">
                            <w:pPr>
                              <w:jc w:val="center"/>
                              <w:rPr>
                                <w:rFonts w:ascii="Gudea" w:hAnsi="Gudea"/>
                                <w:color w:val="FFFFFF" w:themeColor="background1"/>
                                <w:sz w:val="26"/>
                                <w:szCs w:val="22"/>
                              </w:rPr>
                            </w:pPr>
                          </w:p>
                          <w:p w14:paraId="4CFA3776" w14:textId="77777777" w:rsidR="00C41603" w:rsidRPr="00077E86" w:rsidRDefault="00C41603" w:rsidP="00C41603">
                            <w:pPr>
                              <w:jc w:val="center"/>
                              <w:rPr>
                                <w:rFonts w:ascii="Gudea" w:hAnsi="Gudea"/>
                                <w:b/>
                                <w:bCs/>
                                <w:i/>
                                <w:iCs/>
                                <w:color w:val="FFFFFF" w:themeColor="background1"/>
                                <w:sz w:val="26"/>
                                <w:szCs w:val="22"/>
                              </w:rPr>
                            </w:pPr>
                            <w:r w:rsidRPr="00077E86">
                              <w:rPr>
                                <w:rFonts w:ascii="Gudea" w:hAnsi="Gudea"/>
                                <w:color w:val="FFFFFF" w:themeColor="background1"/>
                                <w:sz w:val="26"/>
                                <w:szCs w:val="22"/>
                              </w:rPr>
                              <w:t>The report is an integrated part of the management commentary in the annual</w:t>
                            </w:r>
                            <w:r>
                              <w:rPr>
                                <w:rFonts w:ascii="Gudea" w:hAnsi="Gudea"/>
                                <w:color w:val="FFFFFF" w:themeColor="background1"/>
                                <w:sz w:val="26"/>
                                <w:szCs w:val="22"/>
                              </w:rPr>
                              <w:t xml:space="preserve"> report.</w:t>
                            </w:r>
                          </w:p>
                          <w:p w14:paraId="362E78B1" w14:textId="77777777" w:rsidR="00C41603" w:rsidRPr="00077E86" w:rsidRDefault="00C41603" w:rsidP="00C41603">
                            <w:pPr>
                              <w:jc w:val="center"/>
                              <w:rPr>
                                <w:rFonts w:ascii="Gudea" w:hAnsi="Gudea"/>
                                <w:i/>
                                <w:iCs/>
                                <w:color w:val="FFFFFF" w:themeColor="background1"/>
                                <w:sz w:val="82"/>
                                <w:szCs w:val="82"/>
                              </w:rPr>
                            </w:pPr>
                          </w:p>
                          <w:p w14:paraId="0028A951" w14:textId="07A8AB5C" w:rsidR="00CE2C74" w:rsidRPr="002E294F" w:rsidRDefault="00CE2C74" w:rsidP="00CE2C74">
                            <w:pPr>
                              <w:jc w:val="center"/>
                              <w:rPr>
                                <w:rFonts w:ascii="Gudea" w:hAnsi="Gudea"/>
                                <w:i/>
                                <w:iCs/>
                                <w:color w:val="FFFFFF" w:themeColor="background1"/>
                                <w:sz w:val="82"/>
                                <w:szCs w:val="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" fillcolor="#0d414e" strokecolor="#0d414e" strokeweight="6pt">
                <v:textbox>
                  <w:txbxContent>
                    <w:p w14:paraId="3488AB47" w14:textId="77777777" w:rsidR="00C41603" w:rsidRPr="00077E86" w:rsidRDefault="00C41603" w:rsidP="00C41603">
                      <w:pPr>
                        <w:rPr>
                          <w:rFonts w:ascii="Gudea" w:hAnsi="Gudea"/>
                          <w:color w:val="FFFFFF" w:themeColor="background1"/>
                          <w:sz w:val="56"/>
                          <w:szCs w:val="56"/>
                        </w:rPr>
                      </w:pPr>
                    </w:p>
                    <w:p w14:paraId="7A1F8939" w14:textId="77777777" w:rsidR="00C41603" w:rsidRDefault="00C41603" w:rsidP="00C41603">
                      <w:pPr>
                        <w:jc w:val="center"/>
                        <w:rPr>
                          <w:rFonts w:ascii="Gudea" w:hAnsi="Gudea"/>
                          <w:b/>
                          <w:bCs/>
                          <w:color w:val="FFFFFF" w:themeColor="background1"/>
                          <w:sz w:val="52"/>
                          <w:szCs w:val="48"/>
                        </w:rPr>
                      </w:pPr>
                    </w:p>
                    <w:p w14:paraId="26E04605" w14:textId="77777777" w:rsidR="00C41603" w:rsidRPr="00F41B05" w:rsidRDefault="00C41603" w:rsidP="00C41603">
                      <w:pPr>
                        <w:jc w:val="center"/>
                        <w:rPr>
                          <w:rFonts w:ascii="Gudea" w:hAnsi="Gudea"/>
                          <w:b/>
                          <w:bCs/>
                          <w:color w:val="FFFFFF" w:themeColor="background1"/>
                          <w:sz w:val="52"/>
                          <w:szCs w:val="48"/>
                        </w:rPr>
                      </w:pPr>
                      <w:r>
                        <w:rPr>
                          <w:rFonts w:ascii="Gudea" w:hAnsi="Gudea"/>
                          <w:b/>
                          <w:bCs/>
                          <w:color w:val="FFFFFF" w:themeColor="background1"/>
                          <w:sz w:val="52"/>
                          <w:szCs w:val="48"/>
                        </w:rPr>
                        <w:t>R</w:t>
                      </w:r>
                      <w:r w:rsidRPr="00077E86">
                        <w:rPr>
                          <w:rFonts w:ascii="Gudea" w:hAnsi="Gudea"/>
                          <w:b/>
                          <w:bCs/>
                          <w:color w:val="FFFFFF" w:themeColor="background1"/>
                          <w:sz w:val="52"/>
                          <w:szCs w:val="48"/>
                        </w:rPr>
                        <w:t>eport on foundation governance, cf. section 77a of the Danish Financial Statements Act</w:t>
                      </w:r>
                    </w:p>
                    <w:p w14:paraId="04EB0077" w14:textId="77777777" w:rsidR="00C41603" w:rsidRPr="00077E86" w:rsidRDefault="00C41603" w:rsidP="00C41603">
                      <w:pPr>
                        <w:rPr>
                          <w:rFonts w:ascii="Gudea" w:hAnsi="Gudea"/>
                          <w:color w:val="FFFFFF" w:themeColor="background1"/>
                          <w:sz w:val="56"/>
                          <w:szCs w:val="56"/>
                        </w:rPr>
                      </w:pPr>
                    </w:p>
                    <w:p w14:paraId="467D961E" w14:textId="77777777" w:rsidR="00C41603" w:rsidRPr="00077E86" w:rsidRDefault="00C41603" w:rsidP="00C41603">
                      <w:pPr>
                        <w:jc w:val="center"/>
                        <w:rPr>
                          <w:rFonts w:ascii="Gudea" w:hAnsi="Gudea"/>
                          <w:i/>
                          <w:iCs/>
                          <w:color w:val="FFFFFF" w:themeColor="background1"/>
                          <w:sz w:val="82"/>
                          <w:szCs w:val="82"/>
                        </w:rPr>
                      </w:pPr>
                      <w:r w:rsidRPr="00077E86">
                        <w:rPr>
                          <w:rFonts w:ascii="Gudea" w:hAnsi="Gudea"/>
                          <w:i/>
                          <w:iCs/>
                          <w:color w:val="FFFFFF" w:themeColor="background1"/>
                          <w:sz w:val="82"/>
                          <w:szCs w:val="82"/>
                        </w:rPr>
                        <w:t>[Name of the commercial foundation]</w:t>
                      </w:r>
                    </w:p>
                    <w:p w14:paraId="5AF4E246" w14:textId="77777777" w:rsidR="00C41603" w:rsidRPr="00EC463C" w:rsidRDefault="00C41603" w:rsidP="00C41603">
                      <w:pPr>
                        <w:jc w:val="center"/>
                        <w:rPr>
                          <w:rFonts w:ascii="Gudea" w:hAnsi="Gudea"/>
                          <w:b/>
                          <w:bCs/>
                          <w:i/>
                          <w:iCs/>
                          <w:color w:val="FFFFFF" w:themeColor="background1"/>
                          <w:sz w:val="32"/>
                          <w:szCs w:val="32"/>
                        </w:rPr>
                      </w:pPr>
                      <w:r w:rsidRPr="00EC463C">
                        <w:rPr>
                          <w:rFonts w:ascii="Gudea" w:hAnsi="Gudea"/>
                          <w:b/>
                          <w:bCs/>
                          <w:i/>
                          <w:iCs/>
                          <w:color w:val="FFFFFF" w:themeColor="background1"/>
                          <w:sz w:val="32"/>
                          <w:szCs w:val="32"/>
                        </w:rPr>
                        <w:t>[the foundation's accounting period]</w:t>
                      </w:r>
                    </w:p>
                    <w:p w14:paraId="7F998E6A" w14:textId="77777777" w:rsidR="00C41603" w:rsidRPr="00077E86" w:rsidRDefault="00C41603" w:rsidP="00C41603">
                      <w:pPr>
                        <w:jc w:val="center"/>
                        <w:rPr>
                          <w:rFonts w:ascii="Gudea" w:hAnsi="Gudea"/>
                          <w:b/>
                          <w:bCs/>
                          <w:i/>
                          <w:iCs/>
                          <w:color w:val="FFFFFF" w:themeColor="background1"/>
                          <w:sz w:val="26"/>
                          <w:szCs w:val="22"/>
                        </w:rPr>
                      </w:pPr>
                    </w:p>
                    <w:p w14:paraId="40F9636E" w14:textId="77777777" w:rsidR="00C41603" w:rsidRDefault="00C41603" w:rsidP="00C41603">
                      <w:pPr>
                        <w:jc w:val="center"/>
                        <w:rPr>
                          <w:rFonts w:ascii="Gudea" w:hAnsi="Gudea"/>
                          <w:color w:val="FFFFFF" w:themeColor="background1"/>
                          <w:sz w:val="26"/>
                          <w:szCs w:val="22"/>
                        </w:rPr>
                      </w:pPr>
                    </w:p>
                    <w:p w14:paraId="3A685498" w14:textId="77777777" w:rsidR="00C41603" w:rsidRDefault="00C41603" w:rsidP="00C41603">
                      <w:pPr>
                        <w:jc w:val="center"/>
                        <w:rPr>
                          <w:rFonts w:ascii="Gudea" w:hAnsi="Gudea"/>
                          <w:color w:val="FFFFFF" w:themeColor="background1"/>
                          <w:sz w:val="26"/>
                          <w:szCs w:val="22"/>
                        </w:rPr>
                      </w:pPr>
                    </w:p>
                    <w:p w14:paraId="4F8218B2" w14:textId="77777777" w:rsidR="00C41603" w:rsidRDefault="00C41603" w:rsidP="00C41603">
                      <w:pPr>
                        <w:jc w:val="center"/>
                        <w:rPr>
                          <w:rFonts w:ascii="Gudea" w:hAnsi="Gudea"/>
                          <w:color w:val="FFFFFF" w:themeColor="background1"/>
                          <w:sz w:val="26"/>
                          <w:szCs w:val="22"/>
                        </w:rPr>
                      </w:pPr>
                    </w:p>
                    <w:p w14:paraId="4CFA3776" w14:textId="77777777" w:rsidR="00C41603" w:rsidRPr="00077E86" w:rsidRDefault="00C41603" w:rsidP="00C41603">
                      <w:pPr>
                        <w:jc w:val="center"/>
                        <w:rPr>
                          <w:rFonts w:ascii="Gudea" w:hAnsi="Gudea"/>
                          <w:b/>
                          <w:bCs/>
                          <w:i/>
                          <w:iCs/>
                          <w:color w:val="FFFFFF" w:themeColor="background1"/>
                          <w:sz w:val="26"/>
                          <w:szCs w:val="22"/>
                        </w:rPr>
                      </w:pPr>
                      <w:r w:rsidRPr="00077E86">
                        <w:rPr>
                          <w:rFonts w:ascii="Gudea" w:hAnsi="Gudea"/>
                          <w:color w:val="FFFFFF" w:themeColor="background1"/>
                          <w:sz w:val="26"/>
                          <w:szCs w:val="22"/>
                        </w:rPr>
                        <w:t>The report is an integrated part of the management commentary in the annual</w:t>
                      </w:r>
                      <w:r>
                        <w:rPr>
                          <w:rFonts w:ascii="Gudea" w:hAnsi="Gudea"/>
                          <w:color w:val="FFFFFF" w:themeColor="background1"/>
                          <w:sz w:val="26"/>
                          <w:szCs w:val="22"/>
                        </w:rPr>
                        <w:t xml:space="preserve"> report.</w:t>
                      </w:r>
                    </w:p>
                    <w:p w14:paraId="362E78B1" w14:textId="77777777" w:rsidR="00C41603" w:rsidRPr="00077E86" w:rsidRDefault="00C41603" w:rsidP="00C41603">
                      <w:pPr>
                        <w:jc w:val="center"/>
                        <w:rPr>
                          <w:rFonts w:ascii="Gudea" w:hAnsi="Gudea"/>
                          <w:i/>
                          <w:iCs/>
                          <w:color w:val="FFFFFF" w:themeColor="background1"/>
                          <w:sz w:val="82"/>
                          <w:szCs w:val="82"/>
                        </w:rPr>
                      </w:pPr>
                    </w:p>
                    <w:p w14:paraId="0028A951" w14:textId="07A8AB5C" w:rsidR="00CE2C74" w:rsidRPr="002E294F" w:rsidRDefault="00CE2C74" w:rsidP="00CE2C74">
                      <w:pPr>
                        <w:jc w:val="center"/>
                        <w:rPr>
                          <w:rFonts w:ascii="Gudea" w:hAnsi="Gudea"/>
                          <w:i/>
                          <w:iCs/>
                          <w:color w:val="FFFFFF" w:themeColor="background1"/>
                          <w:sz w:val="82"/>
                          <w:szCs w:val="82"/>
                        </w:rPr>
                      </w:pPr>
                    </w:p>
                  </w:txbxContent>
                </v:textbox>
                <w10:wrap type="square" anchorx="margin"/>
              </v:shape>
            </w:pict>
          </mc:Fallback>
        </mc:AlternateContent>
      </w:r>
      <w:r>
        <w:rPr>
          <w:rFonts w:ascii="Gudea" w:hAnsi="Gudea"/>
        </w:rPr>
        <w:tab/>
      </w:r>
    </w:p>
    <w:p w14:paraId="3B2FA706" w14:textId="6BAB3882" w:rsidR="00BE27B0" w:rsidRDefault="00BE27B0">
      <w:pPr>
        <w:rPr>
          <w:rFonts w:ascii="Gudea" w:hAnsi="Gudea"/>
        </w:rPr>
      </w:pPr>
      <w:r>
        <w:br w:type="page"/>
      </w:r>
    </w:p>
    <w:p w14:paraId="79F36F40" w14:textId="77777777" w:rsidR="00BE27B0" w:rsidRPr="00063BD1" w:rsidRDefault="00BE27B0" w:rsidP="00CE2C74">
      <w:pPr>
        <w:tabs>
          <w:tab w:val="left" w:pos="5220"/>
        </w:tabs>
        <w:rPr>
          <w:rFonts w:ascii="Gudea" w:hAnsi="Gudea"/>
          <w:b/>
          <w:bCs/>
          <w:color w:val="0D414E"/>
          <w:sz w:val="30"/>
          <w:szCs w:val="28"/>
        </w:rPr>
      </w:pPr>
      <w:r>
        <w:rPr>
          <w:rFonts w:ascii="Gudea" w:hAnsi="Gudea"/>
          <w:b/>
          <w:bCs/>
          <w:color w:val="0D414E"/>
          <w:sz w:val="30"/>
          <w:szCs w:val="28"/>
        </w:rPr>
        <w:lastRenderedPageBreak/>
        <w:t>What should this form be used for?</w:t>
      </w:r>
    </w:p>
    <w:p w14:paraId="173C9108" w14:textId="77777777" w:rsidR="00BE27B0" w:rsidRDefault="00BE27B0" w:rsidP="00CE2C74">
      <w:pPr>
        <w:tabs>
          <w:tab w:val="left" w:pos="5220"/>
        </w:tabs>
        <w:rPr>
          <w:rFonts w:ascii="Gudea" w:hAnsi="Gudea"/>
        </w:rPr>
      </w:pPr>
    </w:p>
    <w:p w14:paraId="0472B883" w14:textId="7DC401E8" w:rsidR="00BE27B0" w:rsidRPr="00063BD1" w:rsidRDefault="00BE27B0" w:rsidP="00E44D33">
      <w:pPr>
        <w:tabs>
          <w:tab w:val="left" w:pos="5220"/>
        </w:tabs>
        <w:jc w:val="both"/>
        <w:rPr>
          <w:rFonts w:ascii="Gudea" w:hAnsi="Gudea"/>
          <w:color w:val="0D414E"/>
          <w:sz w:val="26"/>
          <w:szCs w:val="24"/>
        </w:rPr>
      </w:pPr>
      <w:r>
        <w:rPr>
          <w:rFonts w:ascii="Gudea" w:hAnsi="Gudea"/>
          <w:color w:val="0D414E"/>
          <w:sz w:val="26"/>
          <w:szCs w:val="24"/>
        </w:rPr>
        <w:t>This form is meant as a tool for commercial foundations that wish to submit the statutory report on foundation governance as a form, cf. section 77a of the Financial Statements Act</w:t>
      </w:r>
      <w:r w:rsidR="00C0243B">
        <w:rPr>
          <w:rStyle w:val="Fodnotehenvisning"/>
          <w:rFonts w:ascii="Gudea" w:hAnsi="Gudea"/>
          <w:color w:val="0D414E"/>
          <w:sz w:val="26"/>
          <w:szCs w:val="24"/>
        </w:rPr>
        <w:footnoteReference w:id="1"/>
      </w:r>
      <w:r>
        <w:rPr>
          <w:rFonts w:ascii="Gudea" w:hAnsi="Gudea"/>
          <w:color w:val="0D414E"/>
          <w:sz w:val="26"/>
          <w:szCs w:val="24"/>
        </w:rPr>
        <w:t>.</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Pr>
          <w:rFonts w:ascii="Gudea" w:hAnsi="Gudea"/>
          <w:color w:val="0D414E"/>
          <w:sz w:val="26"/>
          <w:szCs w:val="24"/>
        </w:rPr>
        <w:t>The report on foundation governance must be published in the management commentary, in the notes to the annual report, or on the foundation’s website, if any, with a reference to its location in the management commentary or in the notes.</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Pr>
          <w:rFonts w:ascii="Gudea" w:hAnsi="Gudea"/>
          <w:color w:val="0D414E"/>
          <w:sz w:val="26"/>
          <w:szCs w:val="24"/>
        </w:rPr>
        <w:t>Publication of the report on foundation governance on the foundation’s website, if any, with a precise reference in the management commentary establishes the highest level of transparency, as it is easier to access for the general public.</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6AB26985" w:rsidR="00BE27B0" w:rsidRPr="00063BD1" w:rsidRDefault="00BE27B0" w:rsidP="00E44D33">
      <w:pPr>
        <w:tabs>
          <w:tab w:val="left" w:pos="5220"/>
        </w:tabs>
        <w:jc w:val="both"/>
        <w:rPr>
          <w:rFonts w:ascii="Gudea" w:hAnsi="Gudea"/>
          <w:color w:val="0D414E"/>
          <w:sz w:val="26"/>
          <w:szCs w:val="24"/>
        </w:rPr>
      </w:pPr>
      <w:r>
        <w:rPr>
          <w:rFonts w:ascii="Gudea" w:hAnsi="Gudea"/>
          <w:color w:val="0D414E"/>
          <w:sz w:val="26"/>
          <w:szCs w:val="24"/>
        </w:rPr>
        <w:t xml:space="preserve">Publication on </w:t>
      </w:r>
      <w:r w:rsidRPr="00BC3772">
        <w:rPr>
          <w:rFonts w:ascii="Gudea" w:hAnsi="Gudea"/>
          <w:color w:val="0D414E"/>
          <w:sz w:val="26"/>
          <w:szCs w:val="24"/>
        </w:rPr>
        <w:t xml:space="preserve">the foundation’s website, if any, requires that the URL address on which the report on foundation governance is published is stated in the management commentary or in the notes. The URL address </w:t>
      </w:r>
      <w:r w:rsidR="000C5685" w:rsidRPr="00BC3772">
        <w:rPr>
          <w:rFonts w:ascii="Gudea" w:hAnsi="Gudea"/>
          <w:color w:val="0D414E"/>
          <w:sz w:val="26"/>
          <w:szCs w:val="24"/>
        </w:rPr>
        <w:t>must be</w:t>
      </w:r>
      <w:r w:rsidRPr="00BC3772">
        <w:rPr>
          <w:rFonts w:ascii="Gudea" w:hAnsi="Gudea"/>
          <w:color w:val="0D414E"/>
          <w:sz w:val="26"/>
          <w:szCs w:val="24"/>
        </w:rPr>
        <w:t xml:space="preserve"> the internet address which is used to access the report directly</w:t>
      </w:r>
      <w:r w:rsidR="002A6CDA" w:rsidRPr="00BC3772">
        <w:rPr>
          <w:rFonts w:ascii="Gudea" w:hAnsi="Gudea"/>
          <w:color w:val="0D414E"/>
          <w:sz w:val="26"/>
          <w:szCs w:val="24"/>
        </w:rPr>
        <w:t xml:space="preserve"> </w:t>
      </w:r>
      <w:r w:rsidR="00704F61" w:rsidRPr="00BC3772">
        <w:rPr>
          <w:rFonts w:ascii="Gudea" w:hAnsi="Gudea"/>
          <w:color w:val="0D414E"/>
          <w:sz w:val="26"/>
          <w:szCs w:val="24"/>
        </w:rPr>
        <w:t>or to the web</w:t>
      </w:r>
      <w:r w:rsidR="00DB292F" w:rsidRPr="00BC3772">
        <w:rPr>
          <w:rFonts w:ascii="Gudea" w:hAnsi="Gudea"/>
          <w:color w:val="0D414E"/>
          <w:sz w:val="26"/>
          <w:szCs w:val="24"/>
        </w:rPr>
        <w:t xml:space="preserve">site where all published reports are </w:t>
      </w:r>
      <w:r w:rsidR="000102E3" w:rsidRPr="00BC3772">
        <w:rPr>
          <w:rFonts w:ascii="Gudea" w:hAnsi="Gudea"/>
          <w:color w:val="0D414E"/>
          <w:sz w:val="26"/>
          <w:szCs w:val="24"/>
        </w:rPr>
        <w:t>available.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2D76AD1A" w:rsidR="00CE2C74" w:rsidRDefault="00BE27B0" w:rsidP="00E44D33">
      <w:pPr>
        <w:tabs>
          <w:tab w:val="left" w:pos="5220"/>
        </w:tabs>
        <w:jc w:val="both"/>
        <w:rPr>
          <w:rFonts w:ascii="Gudea" w:hAnsi="Gudea"/>
          <w:sz w:val="28"/>
          <w:szCs w:val="28"/>
        </w:rPr>
      </w:pPr>
      <w:r>
        <w:rPr>
          <w:rFonts w:ascii="Gudea" w:hAnsi="Gudea"/>
          <w:color w:val="0D414E"/>
          <w:sz w:val="26"/>
          <w:szCs w:val="24"/>
        </w:rPr>
        <w:t xml:space="preserve">For more information about publication of the report on foundation governance on the foundation’s website, the Committee refers to the Executive Order on the publication of </w:t>
      </w:r>
      <w:proofErr w:type="gramStart"/>
      <w:r>
        <w:rPr>
          <w:rFonts w:ascii="Gudea" w:hAnsi="Gudea"/>
          <w:color w:val="0D414E"/>
          <w:sz w:val="26"/>
          <w:szCs w:val="24"/>
        </w:rPr>
        <w:t>a number of</w:t>
      </w:r>
      <w:proofErr w:type="gramEnd"/>
      <w:r>
        <w:rPr>
          <w:rFonts w:ascii="Gudea" w:hAnsi="Gudea"/>
          <w:color w:val="0D414E"/>
          <w:sz w:val="26"/>
          <w:szCs w:val="24"/>
        </w:rPr>
        <w:t xml:space="preserve"> reports pursuant to the Financial Statements Act</w:t>
      </w:r>
      <w:r w:rsidR="00C0243B">
        <w:rPr>
          <w:rStyle w:val="Fodnotehenvisning"/>
          <w:rFonts w:ascii="Gudea" w:hAnsi="Gudea"/>
          <w:color w:val="0D414E"/>
          <w:sz w:val="26"/>
          <w:szCs w:val="24"/>
        </w:rPr>
        <w:footnoteReference w:id="2"/>
      </w:r>
      <w:r>
        <w:rPr>
          <w:rFonts w:ascii="Gudea" w:hAnsi="Gudea"/>
          <w:color w:val="0D414E"/>
          <w:sz w:val="26"/>
          <w:szCs w:val="24"/>
        </w:rPr>
        <w:t>.</w:t>
      </w:r>
      <w:r>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099535DA" w14:textId="23E49F40" w:rsidR="001C40CB" w:rsidRDefault="001C40CB" w:rsidP="00BE27B0">
      <w:pPr>
        <w:rPr>
          <w:rFonts w:ascii="Gudea" w:hAnsi="Gudea"/>
        </w:rPr>
      </w:pPr>
    </w:p>
    <w:p w14:paraId="14BE27CE" w14:textId="77777777" w:rsidR="00C0243B" w:rsidRDefault="00C0243B" w:rsidP="00BE27B0">
      <w:pPr>
        <w:rPr>
          <w:rFonts w:ascii="Gudea" w:hAnsi="Gudea"/>
          <w:b/>
          <w:bCs/>
          <w:sz w:val="26"/>
          <w:szCs w:val="24"/>
        </w:rPr>
      </w:pPr>
    </w:p>
    <w:p w14:paraId="75B9C58D" w14:textId="77777777" w:rsidR="00531574" w:rsidRDefault="00BE27B0" w:rsidP="00531574">
      <w:pPr>
        <w:jc w:val="both"/>
        <w:rPr>
          <w:rFonts w:ascii="Gudea" w:hAnsi="Gudea"/>
          <w:b/>
          <w:bCs/>
          <w:color w:val="0D414E"/>
          <w:sz w:val="26"/>
          <w:szCs w:val="24"/>
        </w:rPr>
      </w:pPr>
      <w:r>
        <w:rPr>
          <w:rFonts w:ascii="Gudea" w:hAnsi="Gudea"/>
          <w:b/>
          <w:bCs/>
          <w:color w:val="0D414E"/>
          <w:sz w:val="26"/>
          <w:szCs w:val="24"/>
        </w:rPr>
        <w:t>Note:</w:t>
      </w:r>
      <w:r>
        <w:rPr>
          <w:rFonts w:ascii="Gudea" w:hAnsi="Gudea"/>
          <w:color w:val="0D414E"/>
          <w:sz w:val="26"/>
          <w:szCs w:val="24"/>
        </w:rPr>
        <w:t xml:space="preserve"> The form below contains the Recommendations of the Committee on Foundation Governance of June 2020. These Recommendations are available on the Committee’s website: www.godfondsledelse.dk. </w:t>
      </w:r>
      <w:r>
        <w:rPr>
          <w:rFonts w:ascii="Gudea" w:hAnsi="Gudea"/>
          <w:b/>
          <w:bCs/>
          <w:color w:val="0D414E"/>
          <w:sz w:val="26"/>
          <w:szCs w:val="24"/>
        </w:rPr>
        <w:t>The form can be used to prepare a report on foundation governance in the annual report.</w:t>
      </w:r>
    </w:p>
    <w:p w14:paraId="2CA03707" w14:textId="77777777" w:rsidR="000102E3" w:rsidRDefault="000102E3" w:rsidP="00531574">
      <w:pPr>
        <w:jc w:val="both"/>
        <w:rPr>
          <w:rFonts w:ascii="Gudea" w:hAnsi="Gudea"/>
          <w:b/>
          <w:bCs/>
          <w:color w:val="0D414E"/>
          <w:sz w:val="26"/>
          <w:szCs w:val="24"/>
        </w:rPr>
      </w:pPr>
    </w:p>
    <w:p w14:paraId="699C4ABC" w14:textId="77777777" w:rsidR="000102E3" w:rsidRDefault="000102E3" w:rsidP="00531574">
      <w:pPr>
        <w:jc w:val="both"/>
        <w:rPr>
          <w:rFonts w:ascii="Gudea" w:hAnsi="Gudea"/>
          <w:color w:val="0D414E"/>
          <w:sz w:val="26"/>
          <w:szCs w:val="24"/>
        </w:rPr>
      </w:pPr>
    </w:p>
    <w:p w14:paraId="77B83C71" w14:textId="1C7954E0" w:rsidR="00762FF5" w:rsidRDefault="00401EF6" w:rsidP="00531574">
      <w:pPr>
        <w:jc w:val="both"/>
        <w:rPr>
          <w:rFonts w:ascii="Gudea" w:hAnsi="Gudea"/>
          <w:color w:val="0D414E"/>
          <w:sz w:val="26"/>
          <w:szCs w:val="24"/>
        </w:rPr>
      </w:pPr>
      <w:r>
        <w:rPr>
          <w:rFonts w:ascii="Gudea" w:hAnsi="Gudea"/>
          <w:b/>
          <w:bCs/>
          <w:color w:val="0D414E"/>
          <w:sz w:val="30"/>
          <w:szCs w:val="28"/>
        </w:rPr>
        <w:t>“Comply or explain”</w:t>
      </w:r>
    </w:p>
    <w:p w14:paraId="2805624D" w14:textId="77777777" w:rsidR="00743193" w:rsidRPr="00743193" w:rsidRDefault="00743193" w:rsidP="00762FF5">
      <w:pPr>
        <w:rPr>
          <w:rFonts w:ascii="Gudea" w:hAnsi="Gudea"/>
          <w:color w:val="0D414E"/>
          <w:sz w:val="10"/>
          <w:szCs w:val="8"/>
        </w:rPr>
      </w:pPr>
    </w:p>
    <w:p w14:paraId="069FD1F3" w14:textId="2F97197F" w:rsidR="00762FF5" w:rsidRPr="00063BD1" w:rsidRDefault="00762FF5" w:rsidP="00643A42">
      <w:pPr>
        <w:jc w:val="both"/>
        <w:rPr>
          <w:rFonts w:ascii="Gudea" w:hAnsi="Gudea"/>
          <w:color w:val="0D414E"/>
          <w:sz w:val="26"/>
          <w:szCs w:val="22"/>
        </w:rPr>
      </w:pPr>
      <w:r>
        <w:rPr>
          <w:rFonts w:ascii="Gudea" w:hAnsi="Gudea"/>
          <w:color w:val="0D414E"/>
          <w:sz w:val="26"/>
          <w:szCs w:val="22"/>
        </w:rPr>
        <w:t>Section 77a of the Financial Statements Act states that foundations which are covered by the Commercial Foundations Act</w:t>
      </w:r>
      <w:r w:rsidR="00C0243B" w:rsidRPr="00E91414">
        <w:footnoteReference w:id="3"/>
      </w:r>
      <w:r>
        <w:rPr>
          <w:rFonts w:ascii="Gudea" w:hAnsi="Gudea"/>
          <w:color w:val="0D414E"/>
          <w:sz w:val="26"/>
          <w:szCs w:val="22"/>
        </w:rPr>
        <w:t xml:space="preserve"> must include a report by the board of directors on foundation governance, cf. section 60 of the Commercial Foundations Act, in the management commentary or in the notes.</w:t>
      </w:r>
    </w:p>
    <w:p w14:paraId="68112B82" w14:textId="106D3B2F" w:rsidR="00F75F8E" w:rsidRPr="00063BD1" w:rsidRDefault="00F75F8E" w:rsidP="00643A42">
      <w:pPr>
        <w:jc w:val="both"/>
        <w:rPr>
          <w:rFonts w:ascii="Gudea" w:hAnsi="Gudea"/>
          <w:color w:val="0D414E"/>
          <w:sz w:val="26"/>
          <w:szCs w:val="22"/>
        </w:rPr>
      </w:pPr>
    </w:p>
    <w:p w14:paraId="5B8BBEDE" w14:textId="6C5C6B4F" w:rsidR="00E33186" w:rsidRDefault="00F75F8E" w:rsidP="00E91414">
      <w:pPr>
        <w:jc w:val="both"/>
        <w:rPr>
          <w:rFonts w:ascii="Gudea" w:hAnsi="Gudea"/>
          <w:color w:val="0D414E"/>
          <w:sz w:val="26"/>
          <w:szCs w:val="22"/>
        </w:rPr>
      </w:pPr>
      <w:r>
        <w:rPr>
          <w:rFonts w:ascii="Gudea" w:hAnsi="Gudea"/>
          <w:color w:val="0D414E"/>
          <w:sz w:val="26"/>
          <w:szCs w:val="22"/>
        </w:rPr>
        <w:t xml:space="preserve">According to section 60 of the Commercial Foundations Act, </w:t>
      </w:r>
      <w:r w:rsidR="00643A42">
        <w:rPr>
          <w:rFonts w:ascii="Gudea" w:hAnsi="Gudea"/>
          <w:color w:val="0D414E"/>
          <w:sz w:val="26"/>
          <w:szCs w:val="22"/>
        </w:rPr>
        <w:t>t</w:t>
      </w:r>
      <w:r w:rsidR="00643A42" w:rsidRPr="00643A42">
        <w:rPr>
          <w:rFonts w:ascii="Gudea" w:hAnsi="Gudea"/>
          <w:color w:val="0D414E"/>
          <w:sz w:val="26"/>
          <w:szCs w:val="22"/>
        </w:rPr>
        <w:t>he board of directors must account for how they apply the recommendations</w:t>
      </w:r>
      <w:r w:rsidR="00643A42">
        <w:rPr>
          <w:rFonts w:ascii="Gudea" w:hAnsi="Gudea"/>
          <w:color w:val="0D414E"/>
          <w:sz w:val="26"/>
          <w:szCs w:val="22"/>
        </w:rPr>
        <w:t xml:space="preserve"> </w:t>
      </w:r>
      <w:r w:rsidR="00643A42" w:rsidRPr="00643A42">
        <w:rPr>
          <w:rFonts w:ascii="Gudea" w:hAnsi="Gudea"/>
          <w:color w:val="0D414E"/>
          <w:sz w:val="26"/>
          <w:szCs w:val="22"/>
        </w:rPr>
        <w:t>on</w:t>
      </w:r>
      <w:r w:rsidR="00643A42">
        <w:rPr>
          <w:rFonts w:ascii="Gudea" w:hAnsi="Gudea"/>
          <w:color w:val="0D414E"/>
          <w:sz w:val="26"/>
          <w:szCs w:val="22"/>
        </w:rPr>
        <w:t xml:space="preserve"> </w:t>
      </w:r>
      <w:r w:rsidR="00643A42" w:rsidRPr="00643A42">
        <w:rPr>
          <w:rFonts w:ascii="Gudea" w:hAnsi="Gudea"/>
          <w:color w:val="0D414E"/>
          <w:sz w:val="26"/>
          <w:szCs w:val="22"/>
        </w:rPr>
        <w:t>foundation governance. The board of</w:t>
      </w:r>
      <w:r w:rsidR="00643A42">
        <w:rPr>
          <w:rFonts w:ascii="Gudea" w:hAnsi="Gudea"/>
          <w:color w:val="0D414E"/>
          <w:sz w:val="26"/>
          <w:szCs w:val="22"/>
        </w:rPr>
        <w:t xml:space="preserve"> </w:t>
      </w:r>
      <w:r w:rsidR="00643A42" w:rsidRPr="00643A42">
        <w:rPr>
          <w:rFonts w:ascii="Gudea" w:hAnsi="Gudea"/>
          <w:color w:val="0D414E"/>
          <w:sz w:val="26"/>
          <w:szCs w:val="22"/>
        </w:rPr>
        <w:t>directors must state in its account whether the foundation follows the individual</w:t>
      </w:r>
      <w:r w:rsidR="00643A42">
        <w:rPr>
          <w:rFonts w:ascii="Gudea" w:hAnsi="Gudea"/>
          <w:color w:val="0D414E"/>
          <w:sz w:val="26"/>
          <w:szCs w:val="22"/>
        </w:rPr>
        <w:t xml:space="preserve"> </w:t>
      </w:r>
      <w:r w:rsidR="00643A42" w:rsidRPr="00643A42">
        <w:rPr>
          <w:rFonts w:ascii="Gudea" w:hAnsi="Gudea"/>
          <w:color w:val="0D414E"/>
          <w:sz w:val="26"/>
          <w:szCs w:val="22"/>
        </w:rPr>
        <w:t>recommendations, or whether it derogates from one or more recommendations, and if so, which</w:t>
      </w:r>
      <w:r w:rsidR="00643A42">
        <w:rPr>
          <w:rFonts w:ascii="Gudea" w:hAnsi="Gudea"/>
          <w:color w:val="0D414E"/>
          <w:sz w:val="26"/>
          <w:szCs w:val="22"/>
        </w:rPr>
        <w:t xml:space="preserve"> </w:t>
      </w:r>
      <w:r w:rsidR="00643A42" w:rsidRPr="00643A42">
        <w:rPr>
          <w:rFonts w:ascii="Gudea" w:hAnsi="Gudea"/>
          <w:color w:val="0D414E"/>
          <w:sz w:val="26"/>
          <w:szCs w:val="22"/>
        </w:rPr>
        <w:t>one(s). If the board of directors derogates from a recommendation, the board of directors must</w:t>
      </w:r>
      <w:r w:rsidR="00643A42">
        <w:rPr>
          <w:rFonts w:ascii="Gudea" w:hAnsi="Gudea"/>
          <w:color w:val="0D414E"/>
          <w:sz w:val="26"/>
          <w:szCs w:val="22"/>
        </w:rPr>
        <w:t xml:space="preserve"> </w:t>
      </w:r>
      <w:r w:rsidR="00643A42" w:rsidRPr="00643A42">
        <w:rPr>
          <w:rFonts w:ascii="Gudea" w:hAnsi="Gudea"/>
          <w:color w:val="0D414E"/>
          <w:sz w:val="26"/>
          <w:szCs w:val="22"/>
        </w:rPr>
        <w:t>explain its reasons for doing so and what alternatives they have implemented.</w:t>
      </w:r>
    </w:p>
    <w:p w14:paraId="60636165" w14:textId="77777777" w:rsidR="00A2617B" w:rsidRDefault="00A2617B" w:rsidP="00E91414">
      <w:pPr>
        <w:jc w:val="both"/>
        <w:rPr>
          <w:rFonts w:ascii="Gudea" w:hAnsi="Gudea"/>
          <w:color w:val="0D414E"/>
          <w:sz w:val="26"/>
          <w:szCs w:val="22"/>
        </w:rPr>
      </w:pPr>
    </w:p>
    <w:p w14:paraId="4A231E8A" w14:textId="61F26A94" w:rsidR="00A2617B" w:rsidRDefault="00A2617B" w:rsidP="00E91414">
      <w:pPr>
        <w:jc w:val="both"/>
        <w:rPr>
          <w:rFonts w:ascii="Gudea" w:hAnsi="Gudea"/>
          <w:color w:val="0D414E"/>
          <w:sz w:val="26"/>
          <w:szCs w:val="22"/>
        </w:rPr>
      </w:pPr>
      <w:r>
        <w:rPr>
          <w:rFonts w:ascii="Gudea" w:hAnsi="Gudea"/>
          <w:color w:val="0D414E"/>
          <w:sz w:val="26"/>
          <w:szCs w:val="22"/>
        </w:rPr>
        <w:t xml:space="preserve">If the foundation doesn’t </w:t>
      </w:r>
      <w:r w:rsidR="001E6EA2">
        <w:rPr>
          <w:rFonts w:ascii="Gudea" w:hAnsi="Gudea"/>
          <w:color w:val="0D414E"/>
          <w:sz w:val="26"/>
          <w:szCs w:val="22"/>
        </w:rPr>
        <w:t>comply</w:t>
      </w:r>
      <w:r w:rsidR="00D42D8E">
        <w:rPr>
          <w:rFonts w:ascii="Gudea" w:hAnsi="Gudea"/>
          <w:color w:val="0D414E"/>
          <w:sz w:val="26"/>
          <w:szCs w:val="22"/>
        </w:rPr>
        <w:t xml:space="preserve"> a </w:t>
      </w:r>
      <w:r w:rsidR="00D42D8E" w:rsidRPr="00643A42">
        <w:rPr>
          <w:rFonts w:ascii="Gudea" w:hAnsi="Gudea"/>
          <w:color w:val="0D414E"/>
          <w:sz w:val="26"/>
          <w:szCs w:val="22"/>
        </w:rPr>
        <w:t>recommendation</w:t>
      </w:r>
      <w:r w:rsidR="00D42D8E">
        <w:rPr>
          <w:rFonts w:ascii="Gudea" w:hAnsi="Gudea"/>
          <w:color w:val="0D414E"/>
          <w:sz w:val="26"/>
          <w:szCs w:val="22"/>
        </w:rPr>
        <w:t>, it is</w:t>
      </w:r>
      <w:r w:rsidR="00F424C3">
        <w:rPr>
          <w:rFonts w:ascii="Gudea" w:hAnsi="Gudea"/>
          <w:color w:val="0D414E"/>
          <w:sz w:val="26"/>
          <w:szCs w:val="22"/>
        </w:rPr>
        <w:t xml:space="preserve"> not a breach of the rules</w:t>
      </w:r>
      <w:r w:rsidR="001E5337">
        <w:rPr>
          <w:rFonts w:ascii="Gudea" w:hAnsi="Gudea"/>
          <w:color w:val="0D414E"/>
          <w:sz w:val="26"/>
          <w:szCs w:val="22"/>
        </w:rPr>
        <w:t xml:space="preserve">, but merely an expression that the board of directors concretely, and for reasons it has explained, has chosen </w:t>
      </w:r>
      <w:r w:rsidR="008A0F74" w:rsidRPr="008A0F74">
        <w:rPr>
          <w:rFonts w:ascii="Gudea" w:hAnsi="Gudea"/>
          <w:color w:val="0D414E"/>
          <w:sz w:val="26"/>
          <w:szCs w:val="22"/>
        </w:rPr>
        <w:t>a different approach</w:t>
      </w:r>
      <w:r w:rsidR="008A0F74">
        <w:rPr>
          <w:rFonts w:ascii="Gudea" w:hAnsi="Gudea"/>
          <w:color w:val="0D414E"/>
          <w:sz w:val="26"/>
          <w:szCs w:val="22"/>
        </w:rPr>
        <w:t xml:space="preserve"> </w:t>
      </w:r>
      <w:r w:rsidR="00EA686C">
        <w:rPr>
          <w:rFonts w:ascii="Gudea" w:hAnsi="Gudea"/>
          <w:color w:val="0D414E"/>
          <w:sz w:val="26"/>
          <w:szCs w:val="22"/>
        </w:rPr>
        <w:t>than</w:t>
      </w:r>
      <w:r w:rsidR="00E91414">
        <w:rPr>
          <w:rFonts w:ascii="Gudea" w:hAnsi="Gudea"/>
          <w:color w:val="0D414E"/>
          <w:sz w:val="26"/>
          <w:szCs w:val="22"/>
        </w:rPr>
        <w:t xml:space="preserve"> appears in the recommendation.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Pr>
          <w:rFonts w:ascii="Gudea" w:hAnsi="Gudea"/>
          <w:color w:val="0D414E"/>
          <w:sz w:val="26"/>
          <w:szCs w:val="22"/>
        </w:rPr>
        <w:t>Reporting must reflect the current type of management at the date of the annual report. In the event of significant changes during the year or after the balance sheet date, this should be described in the report on foundation governance.</w:t>
      </w:r>
    </w:p>
    <w:p w14:paraId="3FE7C471" w14:textId="6D70377E" w:rsidR="000D047F" w:rsidRPr="00063BD1" w:rsidRDefault="000D047F" w:rsidP="00922161">
      <w:pPr>
        <w:jc w:val="both"/>
        <w:rPr>
          <w:rFonts w:ascii="Gudea" w:hAnsi="Gudea"/>
          <w:color w:val="0D414E"/>
          <w:sz w:val="26"/>
          <w:szCs w:val="22"/>
        </w:rPr>
      </w:pPr>
    </w:p>
    <w:p w14:paraId="59FAD0A2" w14:textId="3665041C" w:rsidR="00762FF5" w:rsidRDefault="000D047F" w:rsidP="00BA6DA9">
      <w:pPr>
        <w:jc w:val="both"/>
        <w:rPr>
          <w:rFonts w:ascii="Gudea" w:hAnsi="Gudea"/>
          <w:color w:val="0D414E"/>
          <w:sz w:val="26"/>
          <w:szCs w:val="22"/>
        </w:rPr>
      </w:pPr>
      <w:r>
        <w:rPr>
          <w:rFonts w:ascii="Gudea" w:hAnsi="Gudea"/>
          <w:color w:val="0D414E"/>
          <w:sz w:val="26"/>
          <w:szCs w:val="22"/>
        </w:rPr>
        <w:t>It is important that the board of directors addresses each individual recommendation.</w:t>
      </w:r>
    </w:p>
    <w:p w14:paraId="2DFBAE18" w14:textId="77777777" w:rsidR="00531574" w:rsidRDefault="00531574" w:rsidP="00531574">
      <w:pPr>
        <w:jc w:val="both"/>
        <w:rPr>
          <w:rFonts w:ascii="Gudea" w:hAnsi="Gudea"/>
          <w:b/>
          <w:bCs/>
          <w:color w:val="0D414E"/>
          <w:sz w:val="30"/>
          <w:szCs w:val="28"/>
        </w:rPr>
      </w:pPr>
    </w:p>
    <w:p w14:paraId="3A9A3B84" w14:textId="77777777" w:rsidR="00531574" w:rsidRDefault="00531574" w:rsidP="00531574">
      <w:pPr>
        <w:jc w:val="both"/>
        <w:rPr>
          <w:rFonts w:ascii="Gudea" w:hAnsi="Gudea"/>
          <w:b/>
          <w:bCs/>
          <w:color w:val="0D414E"/>
          <w:sz w:val="28"/>
          <w:szCs w:val="24"/>
        </w:rPr>
      </w:pPr>
    </w:p>
    <w:p w14:paraId="1687FF00" w14:textId="57829E6D" w:rsidR="00531574" w:rsidRPr="00A3141B" w:rsidRDefault="00531574" w:rsidP="00A3141B">
      <w:pPr>
        <w:jc w:val="both"/>
        <w:rPr>
          <w:rFonts w:ascii="Gudea" w:hAnsi="Gudea"/>
          <w:color w:val="0D414E"/>
          <w:sz w:val="26"/>
          <w:szCs w:val="22"/>
        </w:rPr>
      </w:pPr>
      <w:r>
        <w:rPr>
          <w:rFonts w:ascii="Gudea" w:hAnsi="Gudea"/>
          <w:b/>
          <w:bCs/>
          <w:color w:val="0D414E"/>
          <w:sz w:val="44"/>
          <w:szCs w:val="56"/>
        </w:rPr>
        <w:br w:type="page"/>
      </w:r>
    </w:p>
    <w:p w14:paraId="4FB5C02B" w14:textId="72DCAA8E" w:rsidR="00181FC9" w:rsidRPr="00531574" w:rsidRDefault="00181FC9" w:rsidP="00531574">
      <w:pPr>
        <w:jc w:val="both"/>
        <w:rPr>
          <w:rFonts w:ascii="Gudea" w:hAnsi="Gudea"/>
          <w:color w:val="0D414E"/>
          <w:sz w:val="26"/>
          <w:szCs w:val="22"/>
        </w:rPr>
      </w:pPr>
      <w:r>
        <w:rPr>
          <w:rFonts w:ascii="Gudea" w:hAnsi="Gudea"/>
          <w:b/>
          <w:bCs/>
          <w:color w:val="0D414E"/>
          <w:sz w:val="44"/>
          <w:szCs w:val="56"/>
        </w:rPr>
        <w:lastRenderedPageBreak/>
        <w:t>Recommendations on Foundation Governance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Pr>
          <w:rFonts w:ascii="Gudea" w:hAnsi="Gudea"/>
          <w:color w:val="0D414E"/>
          <w:sz w:val="26"/>
          <w:szCs w:val="22"/>
        </w:rPr>
        <w:t xml:space="preserve">The foundation is covered by the Recommendations on Foundation Governance, which are available on the website of the Committee on Foundation Governance </w:t>
      </w:r>
      <w:hyperlink r:id="rId11" w:history="1">
        <w:r>
          <w:rPr>
            <w:rStyle w:val="Hyperlink"/>
            <w:rFonts w:ascii="Gudea" w:hAnsi="Gudea"/>
            <w:color w:val="0D414E"/>
            <w:sz w:val="26"/>
            <w:szCs w:val="22"/>
          </w:rPr>
          <w:t>www.godfondsledelse.dk</w:t>
        </w:r>
      </w:hyperlink>
      <w:r>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Pr>
                <w:rFonts w:ascii="Gudea" w:hAnsi="Gudea"/>
                <w:b/>
                <w:bCs/>
                <w:color w:val="FFFFFF" w:themeColor="background1"/>
                <w:sz w:val="26"/>
                <w:szCs w:val="28"/>
              </w:rPr>
              <w:t>Recommendation</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Pr>
                <w:rFonts w:ascii="Gudea" w:hAnsi="Gudea"/>
                <w:b/>
                <w:sz w:val="26"/>
                <w:szCs w:val="28"/>
              </w:rPr>
              <w:t xml:space="preserve">The foundation </w:t>
            </w:r>
            <w:r>
              <w:rPr>
                <w:rFonts w:ascii="Gudea" w:hAnsi="Gudea"/>
                <w:b/>
                <w:sz w:val="26"/>
                <w:szCs w:val="28"/>
                <w:u w:val="single"/>
              </w:rPr>
              <w:t>complies</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Pr>
                <w:rFonts w:ascii="Gudea" w:hAnsi="Gudea"/>
                <w:b/>
                <w:sz w:val="26"/>
                <w:szCs w:val="28"/>
              </w:rPr>
              <w:t xml:space="preserve">The foundation </w:t>
            </w:r>
            <w:r>
              <w:rPr>
                <w:rFonts w:ascii="Gudea" w:hAnsi="Gudea"/>
                <w:b/>
                <w:sz w:val="26"/>
                <w:szCs w:val="28"/>
                <w:u w:val="single"/>
              </w:rPr>
              <w:t>explain</w:t>
            </w:r>
            <w:r w:rsidRPr="00C1262C">
              <w:rPr>
                <w:rFonts w:ascii="Gudea" w:hAnsi="Gudea"/>
                <w:b/>
                <w:sz w:val="26"/>
                <w:szCs w:val="28"/>
                <w:u w:val="single"/>
              </w:rPr>
              <w:t>s</w:t>
            </w:r>
            <w:r w:rsidRPr="00C1262C">
              <w:rPr>
                <w:rFonts w:ascii="Gudea" w:hAnsi="Gudea"/>
                <w:b/>
                <w:sz w:val="26"/>
                <w:szCs w:val="28"/>
                <w:vertAlign w:val="superscript"/>
              </w:rPr>
              <w:footnoteReference w:id="4"/>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Pr>
                <w:rFonts w:ascii="Gudea" w:hAnsi="Gudea"/>
                <w:b/>
                <w:sz w:val="26"/>
                <w:szCs w:val="28"/>
              </w:rPr>
              <w:t>Not applicable</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Pr>
                <w:rFonts w:ascii="Gudea" w:hAnsi="Gudea"/>
                <w:b/>
                <w:i/>
                <w:sz w:val="26"/>
                <w:szCs w:val="28"/>
              </w:rPr>
              <w:t>why</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Pr>
                <w:rFonts w:ascii="Gudea" w:hAnsi="Gudea"/>
                <w:b/>
                <w:i/>
                <w:sz w:val="26"/>
                <w:szCs w:val="28"/>
              </w:rPr>
              <w:t>how</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Pr>
                <w:rFonts w:ascii="Gudea" w:hAnsi="Gudea"/>
                <w:b/>
                <w:color w:val="0D414E"/>
                <w:sz w:val="26"/>
                <w:szCs w:val="22"/>
              </w:rPr>
              <w:t>1. Transparency and communication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Pr>
                <w:rFonts w:ascii="Gudea" w:hAnsi="Gudea"/>
                <w:b/>
                <w:bCs/>
                <w:color w:val="0D414E"/>
                <w:sz w:val="26"/>
                <w:szCs w:val="28"/>
              </w:rPr>
              <w:t>1.1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the board of directors adopt principles for external communication that address the need for transparency and stakeholders' needs and possibilities to obtain relevant up-to-date information about the circumstances of the foundation.</w:t>
            </w:r>
          </w:p>
        </w:tc>
        <w:tc>
          <w:tcPr>
            <w:tcW w:w="1844" w:type="dxa"/>
          </w:tcPr>
          <w:p w14:paraId="789E6293" w14:textId="7C4182BE" w:rsidR="00C21039" w:rsidRPr="00C21039" w:rsidRDefault="00C21039" w:rsidP="0027461E">
            <w:pPr>
              <w:jc w:val="both"/>
              <w:rPr>
                <w:rFonts w:ascii="Gudea" w:hAnsi="Gudea"/>
                <w:sz w:val="20"/>
              </w:rPr>
            </w:pP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Pr>
                <w:rFonts w:ascii="Gudea" w:hAnsi="Gudea"/>
                <w:b/>
                <w:color w:val="0D414E"/>
                <w:sz w:val="26"/>
                <w:szCs w:val="22"/>
              </w:rPr>
              <w:t>2. Tasks and responsibilities of the board of directors</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Pr>
                <w:rFonts w:ascii="Gudea" w:hAnsi="Gudea"/>
                <w:b/>
                <w:color w:val="0D414E"/>
                <w:sz w:val="26"/>
                <w:szCs w:val="24"/>
              </w:rPr>
              <w:t>2.1 Overall tasks and responsibilities</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Pr>
                <w:rFonts w:ascii="Gudea" w:hAnsi="Gudea"/>
                <w:b/>
                <w:bCs/>
                <w:color w:val="0D414E"/>
                <w:sz w:val="26"/>
                <w:szCs w:val="28"/>
              </w:rPr>
              <w:t>2.1.1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in order to secure the activities of the commercial foundation in accordance with the purposes and interests of the foundation, the board of directors should, at least once a year, take a position on the overall strategy and distribution policy of the foundation on the basis of the articles of association.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06697DEB" w14:textId="77777777"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Pr>
                <w:rFonts w:ascii="Gudea" w:hAnsi="Gudea"/>
                <w:b/>
                <w:bCs/>
                <w:color w:val="0D414E"/>
                <w:sz w:val="26"/>
                <w:szCs w:val="28"/>
              </w:rPr>
              <w:t>2.1.2</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the board of directors regularly address whether the foundation's asset management is in line with the purpose of the foundation and its long- and short-term needs.</w:t>
            </w:r>
          </w:p>
        </w:tc>
        <w:tc>
          <w:tcPr>
            <w:tcW w:w="1844" w:type="dxa"/>
            <w:tcBorders>
              <w:bottom w:val="single" w:sz="4" w:space="0" w:color="auto"/>
            </w:tcBorders>
          </w:tcPr>
          <w:p w14:paraId="44F94494" w14:textId="77777777" w:rsidR="004718B5" w:rsidRPr="00C21039" w:rsidRDefault="004718B5" w:rsidP="0027461E">
            <w:pPr>
              <w:jc w:val="both"/>
              <w:rPr>
                <w:rFonts w:ascii="Gudea" w:hAnsi="Gudea"/>
                <w:sz w:val="20"/>
              </w:rPr>
            </w:pP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Pr>
                <w:rFonts w:ascii="Gudea" w:hAnsi="Gudea"/>
                <w:b/>
                <w:color w:val="0D414E"/>
                <w:sz w:val="26"/>
                <w:szCs w:val="24"/>
              </w:rPr>
              <w:t>2.2 Chairman and vice-chairman of the board of directors</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Pr>
                <w:rFonts w:ascii="Gudea" w:hAnsi="Gudea"/>
                <w:b/>
                <w:bCs/>
                <w:color w:val="0D414E"/>
                <w:sz w:val="26"/>
                <w:szCs w:val="28"/>
              </w:rPr>
              <w:t>2.2.1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the chairman of the board of directors organise, convene and chair meetings of the board of directors in order to ensure effective board work and to establish the best conditions for the work of the board members, individually and collectively. </w:t>
            </w:r>
          </w:p>
        </w:tc>
        <w:tc>
          <w:tcPr>
            <w:tcW w:w="1844" w:type="dxa"/>
          </w:tcPr>
          <w:p w14:paraId="20E9FEB0" w14:textId="77777777"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Pr>
                <w:rFonts w:ascii="Gudea" w:hAnsi="Gudea"/>
                <w:b/>
                <w:bCs/>
                <w:color w:val="0D414E"/>
                <w:sz w:val="26"/>
                <w:szCs w:val="28"/>
              </w:rPr>
              <w:t>2.2.2</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if the board of directors, in exceptional cases, asks the chairman of the board of directors to perform special activities for the commercial foundation which extend beyond the duties of chairman, a board resolution to that effect be passed to ensure that the board of directors maintains its independent, general management and control function. Appropriate allocation of responsibilities should be ensured between the chairman, the vice-chairman, the other members of the board of directors and the executive board, if any.</w:t>
            </w:r>
            <w:r>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0C5FF69C" w14:textId="7A7232F1"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Pr>
                <w:rFonts w:ascii="Gudea" w:hAnsi="Gudea"/>
                <w:b/>
                <w:color w:val="0D414E"/>
                <w:sz w:val="26"/>
                <w:szCs w:val="24"/>
              </w:rPr>
              <w:t>2.3 Composition and organisation of the board of directors</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Pr>
                <w:rFonts w:ascii="Gudea" w:hAnsi="Gudea"/>
                <w:b/>
                <w:bCs/>
                <w:color w:val="0D414E"/>
                <w:sz w:val="26"/>
                <w:szCs w:val="28"/>
              </w:rPr>
              <w:t>2.3.1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the board of directors regularly, and at least every second year, assess and stipulate the competences that the board of directors needs to possess in order to best perform the tasks incumbent upon the board of directors. </w:t>
            </w:r>
          </w:p>
        </w:tc>
        <w:tc>
          <w:tcPr>
            <w:tcW w:w="1844" w:type="dxa"/>
          </w:tcPr>
          <w:p w14:paraId="6F3E2532" w14:textId="77777777"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Pr>
                <w:rFonts w:ascii="Gudea" w:hAnsi="Gudea"/>
                <w:b/>
                <w:bCs/>
                <w:color w:val="0D414E"/>
                <w:sz w:val="26"/>
                <w:szCs w:val="28"/>
              </w:rPr>
              <w:t>2.3.2</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with due respect of any right in the articles of association to make appointments, the board of directors approves a structured, thorough and transparent process for selection and nomination of candidates for the board of directors. </w:t>
            </w:r>
          </w:p>
        </w:tc>
        <w:tc>
          <w:tcPr>
            <w:tcW w:w="1844" w:type="dxa"/>
          </w:tcPr>
          <w:p w14:paraId="529E9729" w14:textId="1C3ED688"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2919E307"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2742EE"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4695FF17" w:rsidR="000B3878" w:rsidRPr="008A7A86" w:rsidRDefault="00070C75" w:rsidP="00E26E0A">
            <w:pPr>
              <w:spacing w:line="276" w:lineRule="auto"/>
              <w:jc w:val="both"/>
              <w:rPr>
                <w:rFonts w:ascii="Gudea" w:hAnsi="Gudea"/>
                <w:color w:val="0D414E"/>
                <w:szCs w:val="24"/>
              </w:rPr>
            </w:pPr>
            <w:r>
              <w:rPr>
                <w:rFonts w:ascii="Gudea" w:hAnsi="Gudea"/>
                <w:b/>
                <w:bCs/>
                <w:color w:val="0D414E"/>
                <w:sz w:val="26"/>
                <w:szCs w:val="28"/>
              </w:rPr>
              <w:t>2.3.3</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members of the board of directors are appointed on the basis of their personal qualities and competences, taking into account the collective competences of the board, and when composing and nominating new members of the board the need for introducing new talent is weighed against the need for continuity and the need for diversity in relation to commercial and grants experience, age</w:t>
            </w:r>
            <w:r w:rsidR="001F1DDB">
              <w:rPr>
                <w:rFonts w:ascii="Gudea" w:hAnsi="Gudea"/>
                <w:color w:val="0D414E"/>
                <w:sz w:val="26"/>
                <w:szCs w:val="28"/>
              </w:rPr>
              <w:t xml:space="preserve"> and </w:t>
            </w:r>
            <w:r>
              <w:rPr>
                <w:rFonts w:ascii="Gudea" w:hAnsi="Gudea"/>
                <w:color w:val="0D414E"/>
                <w:sz w:val="26"/>
                <w:szCs w:val="28"/>
              </w:rPr>
              <w:t>gender</w:t>
            </w:r>
            <w:r w:rsidR="001F1DDB">
              <w:rPr>
                <w:rFonts w:ascii="Gudea" w:hAnsi="Gudea"/>
                <w:color w:val="0D414E"/>
                <w:sz w:val="26"/>
                <w:szCs w:val="28"/>
              </w:rPr>
              <w:t>.</w:t>
            </w:r>
            <w:r>
              <w:rPr>
                <w:rFonts w:ascii="Gudea" w:hAnsi="Gudea"/>
                <w:color w:val="0D414E"/>
                <w:sz w:val="26"/>
                <w:szCs w:val="28"/>
              </w:rPr>
              <w:t xml:space="preserve">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31810074" w14:textId="22EB6085"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CFB1EC2" w14:textId="77777777"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A3141B">
        <w:trPr>
          <w:trHeight w:val="2529"/>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Pr>
                <w:rFonts w:ascii="Gudea" w:hAnsi="Gudea"/>
                <w:b/>
                <w:bCs/>
                <w:color w:val="0D414E"/>
                <w:sz w:val="26"/>
                <w:szCs w:val="28"/>
              </w:rPr>
              <w:t>2.3.4</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w:t>
            </w:r>
            <w:r>
              <w:rPr>
                <w:rFonts w:ascii="Gudea" w:hAnsi="Gudea"/>
                <w:color w:val="0D414E"/>
                <w:sz w:val="26"/>
                <w:szCs w:val="22"/>
              </w:rPr>
              <w:t>in the management commentary in the annual report and on the commercial foundation's website, if any, there is an account of the composition of the board of directors, including its diversity, and that the following information is provided on each board member:</w:t>
            </w:r>
          </w:p>
          <w:p w14:paraId="19E62963" w14:textId="77777777" w:rsidR="00851F80"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t>the name and position of the member,</w:t>
            </w:r>
          </w:p>
          <w:p w14:paraId="2DCE7BA1" w14:textId="77777777" w:rsidR="00851F80"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t>the age and gender of the member,</w:t>
            </w:r>
          </w:p>
          <w:p w14:paraId="65699FF6" w14:textId="77777777" w:rsidR="00851F80"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t>date of original appointment to the board whether the member has been re-elected, and expiry of the current election period,</w:t>
            </w:r>
          </w:p>
          <w:p w14:paraId="202A7D5B" w14:textId="77777777" w:rsidR="00851F80"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t>any special competences possessed by the member,</w:t>
            </w:r>
          </w:p>
          <w:p w14:paraId="1917CF7F" w14:textId="77777777" w:rsidR="00851F80"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t>other managerial positions held by the member, including positions on executive boards, boards of directors and supervisory boards and board committees in Danish and foreign foundations, enterprises and institutions, as well as other demanding organisation tasks,</w:t>
            </w:r>
          </w:p>
          <w:p w14:paraId="418000E5" w14:textId="1605F533" w:rsidR="00851F80"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lastRenderedPageBreak/>
              <w:t>whether the member owns shares, options, warrants and similar in the foundation's subsidiaries and/or associate</w:t>
            </w:r>
            <w:r w:rsidR="0004147C">
              <w:rPr>
                <w:rFonts w:ascii="Gudea" w:hAnsi="Gudea"/>
                <w:color w:val="0D414E"/>
                <w:sz w:val="26"/>
                <w:szCs w:val="22"/>
              </w:rPr>
              <w:t>d companies</w:t>
            </w:r>
            <w:r>
              <w:rPr>
                <w:rFonts w:ascii="Gudea" w:hAnsi="Gudea"/>
                <w:color w:val="0D414E"/>
                <w:sz w:val="26"/>
                <w:szCs w:val="22"/>
              </w:rPr>
              <w:t>,</w:t>
            </w:r>
          </w:p>
          <w:p w14:paraId="66AF2F26" w14:textId="77777777" w:rsidR="00851F80"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t xml:space="preserve">whether the member has been appointed by authorities/providers of grants etc., and </w:t>
            </w:r>
          </w:p>
          <w:p w14:paraId="080E8035" w14:textId="77777777" w:rsidR="00251BB5" w:rsidRPr="00595BAB" w:rsidRDefault="00851F80" w:rsidP="00C13078">
            <w:pPr>
              <w:pStyle w:val="Brdtekst"/>
              <w:numPr>
                <w:ilvl w:val="0"/>
                <w:numId w:val="8"/>
              </w:numPr>
              <w:spacing w:line="276" w:lineRule="auto"/>
              <w:ind w:left="530"/>
              <w:rPr>
                <w:rFonts w:ascii="Gudea" w:hAnsi="Gudea"/>
                <w:color w:val="0D414E"/>
                <w:sz w:val="26"/>
                <w:szCs w:val="22"/>
                <w:lang w:val="en-US"/>
              </w:rPr>
            </w:pPr>
            <w:r>
              <w:rPr>
                <w:rFonts w:ascii="Gudea" w:hAnsi="Gudea"/>
                <w:color w:val="0D414E"/>
                <w:sz w:val="26"/>
                <w:szCs w:val="22"/>
              </w:rPr>
              <w:t>whether the member is considered independent.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3FED54ED" w14:textId="77777777" w:rsidR="005C5818" w:rsidRPr="00C21039" w:rsidRDefault="005C5818" w:rsidP="0027461E">
            <w:pPr>
              <w:jc w:val="both"/>
              <w:rPr>
                <w:rFonts w:ascii="Gudea" w:hAnsi="Gudea"/>
                <w:sz w:val="20"/>
              </w:rPr>
            </w:pP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A3141B">
        <w:trPr>
          <w:trHeight w:val="2550"/>
        </w:trPr>
        <w:tc>
          <w:tcPr>
            <w:tcW w:w="6232" w:type="dxa"/>
          </w:tcPr>
          <w:p w14:paraId="41D60450" w14:textId="77777777" w:rsidR="00610B5D" w:rsidRPr="00595BAB" w:rsidRDefault="00610B5D" w:rsidP="00C13078">
            <w:pPr>
              <w:pStyle w:val="Brdtekst"/>
              <w:spacing w:line="276" w:lineRule="auto"/>
              <w:rPr>
                <w:rFonts w:ascii="Gudea" w:hAnsi="Gudea"/>
                <w:b/>
                <w:bCs/>
                <w:color w:val="0D414E"/>
                <w:sz w:val="8"/>
                <w:szCs w:val="4"/>
                <w:lang w:val="en-US"/>
              </w:rPr>
            </w:pPr>
          </w:p>
          <w:p w14:paraId="12E3F000" w14:textId="77777777" w:rsidR="00484BEC" w:rsidRDefault="00C13078" w:rsidP="00C13078">
            <w:pPr>
              <w:pStyle w:val="Brdtekst"/>
              <w:spacing w:line="276" w:lineRule="auto"/>
              <w:rPr>
                <w:rFonts w:ascii="Gudea" w:hAnsi="Gudea"/>
                <w:color w:val="0D414E"/>
                <w:sz w:val="26"/>
                <w:szCs w:val="22"/>
              </w:rPr>
            </w:pPr>
            <w:r>
              <w:rPr>
                <w:rFonts w:ascii="Gudea" w:hAnsi="Gudea"/>
                <w:b/>
                <w:bCs/>
                <w:color w:val="0D414E"/>
                <w:sz w:val="26"/>
                <w:szCs w:val="22"/>
              </w:rPr>
              <w:t>2.3.5</w:t>
            </w:r>
            <w:r>
              <w:rPr>
                <w:rFonts w:ascii="Gudea" w:hAnsi="Gudea"/>
                <w:color w:val="0D414E"/>
                <w:sz w:val="26"/>
                <w:szCs w:val="22"/>
              </w:rPr>
              <w:t xml:space="preserve"> It is </w:t>
            </w:r>
            <w:r>
              <w:rPr>
                <w:rFonts w:ascii="Gudea" w:hAnsi="Gudea"/>
                <w:b/>
                <w:color w:val="0D414E"/>
                <w:sz w:val="26"/>
                <w:szCs w:val="22"/>
              </w:rPr>
              <w:t>recommended</w:t>
            </w:r>
            <w:r>
              <w:rPr>
                <w:rFonts w:ascii="Gudea" w:hAnsi="Gudea"/>
                <w:color w:val="0D414E"/>
                <w:sz w:val="26"/>
                <w:szCs w:val="22"/>
              </w:rPr>
              <w:t xml:space="preserve"> that </w:t>
            </w:r>
            <w:proofErr w:type="gramStart"/>
            <w:r>
              <w:rPr>
                <w:rFonts w:ascii="Gudea" w:hAnsi="Gudea"/>
                <w:color w:val="0D414E"/>
                <w:sz w:val="26"/>
                <w:szCs w:val="22"/>
              </w:rPr>
              <w:t>the majority of</w:t>
            </w:r>
            <w:proofErr w:type="gramEnd"/>
            <w:r>
              <w:rPr>
                <w:rFonts w:ascii="Gudea" w:hAnsi="Gudea"/>
                <w:color w:val="0D414E"/>
                <w:sz w:val="26"/>
                <w:szCs w:val="22"/>
              </w:rPr>
              <w:t xml:space="preserve"> the members of the board of directors of the commercial foundation are not also members of the board of directors or executive board of the foundation's subsidiary(ies), unless it is a fully owned actual holding company.</w:t>
            </w:r>
          </w:p>
          <w:p w14:paraId="02035811" w14:textId="77777777" w:rsidR="008F0176" w:rsidRDefault="008F0176" w:rsidP="008F0176"/>
          <w:p w14:paraId="64B39518" w14:textId="77777777" w:rsidR="008F0176" w:rsidRDefault="008F0176" w:rsidP="008F0176"/>
          <w:p w14:paraId="35A07D3D" w14:textId="77777777" w:rsidR="008F0176" w:rsidRDefault="008F0176" w:rsidP="008F0176"/>
          <w:p w14:paraId="0DD01648" w14:textId="77777777" w:rsidR="008F0176" w:rsidRDefault="008F0176" w:rsidP="008F0176"/>
          <w:p w14:paraId="53563674" w14:textId="77777777" w:rsidR="008F0176" w:rsidRDefault="008F0176" w:rsidP="008F0176"/>
          <w:p w14:paraId="4F64A788" w14:textId="77777777" w:rsidR="008F0176" w:rsidRDefault="008F0176" w:rsidP="008F0176"/>
          <w:p w14:paraId="24D7DE11" w14:textId="77777777" w:rsidR="008F0176" w:rsidRDefault="008F0176" w:rsidP="008F0176"/>
          <w:p w14:paraId="2507BFD4" w14:textId="77777777" w:rsidR="008F0176" w:rsidRDefault="008F0176" w:rsidP="008F0176"/>
          <w:p w14:paraId="15B2ECE7" w14:textId="086EFDB5" w:rsidR="008F0176" w:rsidRPr="008F0176" w:rsidRDefault="008F0176" w:rsidP="008F0176"/>
        </w:tc>
        <w:tc>
          <w:tcPr>
            <w:tcW w:w="1844" w:type="dxa"/>
            <w:tcBorders>
              <w:bottom w:val="single" w:sz="4" w:space="0" w:color="auto"/>
            </w:tcBorders>
          </w:tcPr>
          <w:p w14:paraId="0C371856" w14:textId="77777777" w:rsidR="00484BEC" w:rsidRPr="00C21039" w:rsidRDefault="00484BEC" w:rsidP="0027461E">
            <w:pPr>
              <w:jc w:val="both"/>
              <w:rPr>
                <w:rFonts w:ascii="Gudea" w:hAnsi="Gudea"/>
                <w:sz w:val="20"/>
              </w:rPr>
            </w:pP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Pr>
                <w:rFonts w:ascii="Gudea" w:hAnsi="Gudea"/>
                <w:b/>
                <w:color w:val="0D414E"/>
                <w:sz w:val="26"/>
                <w:szCs w:val="24"/>
              </w:rPr>
              <w:lastRenderedPageBreak/>
              <w:t>2.4 Independence</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Pr>
                <w:rFonts w:ascii="Gudea" w:hAnsi="Gudea"/>
                <w:b/>
                <w:bCs/>
                <w:color w:val="0D414E"/>
                <w:sz w:val="26"/>
                <w:szCs w:val="28"/>
              </w:rPr>
              <w:t>2.4.1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an appropriate proportion of the board of directors be independent.</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Pr>
                <w:rFonts w:ascii="Gudea" w:hAnsi="Gudea"/>
                <w:color w:val="0D414E"/>
                <w:sz w:val="26"/>
                <w:szCs w:val="28"/>
              </w:rPr>
              <w:t>If the board of directors (excluding employee representatives) is composed of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Pr>
                <w:rFonts w:ascii="Gudea" w:hAnsi="Gudea"/>
                <w:color w:val="0D414E"/>
                <w:sz w:val="26"/>
                <w:szCs w:val="28"/>
              </w:rPr>
              <w:t>up to four members, at least one member should be independent,</w:t>
            </w:r>
          </w:p>
          <w:p w14:paraId="502ABCF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Pr>
                <w:rFonts w:ascii="Gudea" w:hAnsi="Gudea"/>
                <w:color w:val="0D414E"/>
                <w:sz w:val="26"/>
                <w:szCs w:val="28"/>
              </w:rPr>
              <w:t>between five and eight members, at least two members should be independent, or</w:t>
            </w:r>
          </w:p>
          <w:p w14:paraId="129FC206"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Pr>
                <w:rFonts w:ascii="Gudea" w:hAnsi="Gudea"/>
                <w:color w:val="0D414E"/>
                <w:sz w:val="26"/>
                <w:szCs w:val="28"/>
              </w:rPr>
              <w:t xml:space="preserve">nine to eleven members, at least three members should be independent, and so on.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Pr>
                <w:rFonts w:ascii="Gudea" w:hAnsi="Gudea"/>
                <w:color w:val="0D414E"/>
                <w:sz w:val="26"/>
                <w:szCs w:val="28"/>
              </w:rPr>
              <w:t xml:space="preserve">To be considered independent, this person may not, for example: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Pr>
                <w:rFonts w:ascii="Gudea" w:hAnsi="Gudea"/>
                <w:color w:val="0D414E"/>
                <w:sz w:val="26"/>
                <w:szCs w:val="26"/>
              </w:rPr>
              <w:t>be or within the past three years have been member of the executive board, or senior employee in the foundation, or an essential subsidiary or associated company to the foundation,</w:t>
            </w:r>
          </w:p>
          <w:p w14:paraId="35587878"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Pr>
                <w:rFonts w:ascii="Gudea" w:hAnsi="Gudea"/>
                <w:color w:val="0D414E"/>
                <w:sz w:val="26"/>
                <w:szCs w:val="26"/>
              </w:rPr>
              <w:lastRenderedPageBreak/>
              <w:t>within the past five years have received larger emoluments, including distributions or other benefits from the foundation/group or a subsidiary or associated company to the foundation in other capacity than as member of the board of directors or executive board of the foundation,</w:t>
            </w:r>
          </w:p>
          <w:p w14:paraId="1E12620C" w14:textId="670A6BB8"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Pr>
                <w:rFonts w:ascii="Gudea" w:hAnsi="Gudea"/>
                <w:color w:val="0D414E"/>
                <w:sz w:val="26"/>
                <w:szCs w:val="26"/>
              </w:rPr>
              <w:t>within the past year have had a significant business relationship (e.g. personal or indirectly as partner or employee, shareholder, customer, supplier or member of the executive management of companies with corresponding connection) with the foundation/group or a subsidiary or associate</w:t>
            </w:r>
            <w:r w:rsidR="0004147C">
              <w:rPr>
                <w:rFonts w:ascii="Gudea" w:hAnsi="Gudea"/>
                <w:color w:val="0D414E"/>
                <w:sz w:val="26"/>
                <w:szCs w:val="26"/>
              </w:rPr>
              <w:t>d company</w:t>
            </w:r>
            <w:r>
              <w:rPr>
                <w:rFonts w:ascii="Gudea" w:hAnsi="Gudea"/>
                <w:color w:val="0D414E"/>
                <w:sz w:val="26"/>
                <w:szCs w:val="26"/>
              </w:rPr>
              <w:t xml:space="preserve"> to the foundation,</w:t>
            </w:r>
          </w:p>
          <w:p w14:paraId="424820A7"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Pr>
                <w:rFonts w:ascii="Gudea" w:hAnsi="Gudea"/>
                <w:color w:val="0D414E"/>
                <w:sz w:val="26"/>
                <w:szCs w:val="26"/>
              </w:rPr>
              <w:t>be or within the past three years have been employed or partner at the external auditor,</w:t>
            </w:r>
          </w:p>
          <w:p w14:paraId="64198CA5" w14:textId="791A537A" w:rsidR="005B2433" w:rsidRDefault="005B2433" w:rsidP="005B2433">
            <w:pPr>
              <w:pStyle w:val="Listeafsnit"/>
              <w:numPr>
                <w:ilvl w:val="0"/>
                <w:numId w:val="6"/>
              </w:numPr>
              <w:spacing w:line="276" w:lineRule="auto"/>
              <w:ind w:left="530"/>
              <w:jc w:val="both"/>
              <w:rPr>
                <w:rFonts w:ascii="Gudea" w:hAnsi="Gudea"/>
                <w:color w:val="0D414E"/>
                <w:sz w:val="26"/>
                <w:szCs w:val="26"/>
              </w:rPr>
            </w:pPr>
            <w:r>
              <w:rPr>
                <w:rFonts w:ascii="Gudea" w:hAnsi="Gudea"/>
                <w:color w:val="0D414E"/>
                <w:sz w:val="26"/>
                <w:szCs w:val="26"/>
              </w:rPr>
              <w:t>have been a member of the board of directors or executive board of the foundation for more than 12 years,</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Pr>
                <w:rFonts w:ascii="Gudea" w:hAnsi="Gudea"/>
                <w:color w:val="0D414E"/>
                <w:sz w:val="26"/>
                <w:szCs w:val="26"/>
              </w:rPr>
              <w:lastRenderedPageBreak/>
              <w:t>be a close relative of, or in some other way be especially close to, persons who are not considered independent,</w:t>
            </w:r>
          </w:p>
          <w:p w14:paraId="6C47C00C" w14:textId="77777777" w:rsidR="007427DA" w:rsidRPr="008A7A86" w:rsidRDefault="005B2433" w:rsidP="005B2433">
            <w:pPr>
              <w:pStyle w:val="Listeafsnit"/>
              <w:numPr>
                <w:ilvl w:val="0"/>
                <w:numId w:val="6"/>
              </w:numPr>
              <w:spacing w:line="276" w:lineRule="auto"/>
              <w:ind w:left="530"/>
              <w:jc w:val="both"/>
              <w:rPr>
                <w:rFonts w:ascii="Gudea" w:hAnsi="Gudea"/>
                <w:color w:val="0D414E"/>
                <w:sz w:val="26"/>
                <w:szCs w:val="26"/>
              </w:rPr>
            </w:pPr>
            <w:r>
              <w:rPr>
                <w:rFonts w:ascii="Gudea" w:hAnsi="Gudea"/>
                <w:color w:val="0D414E"/>
                <w:sz w:val="26"/>
                <w:szCs w:val="26"/>
              </w:rPr>
              <w:t>be the founder or a significant donor if the purpose of the foundation is to grant support to this person's family or others who are especially close to this person, or</w:t>
            </w:r>
          </w:p>
          <w:p w14:paraId="6C65F19F" w14:textId="77777777" w:rsidR="005B2433" w:rsidRDefault="005B2433" w:rsidP="005B2433">
            <w:pPr>
              <w:pStyle w:val="Listeafsnit"/>
              <w:numPr>
                <w:ilvl w:val="0"/>
                <w:numId w:val="6"/>
              </w:numPr>
              <w:spacing w:line="276" w:lineRule="auto"/>
              <w:ind w:left="530"/>
              <w:jc w:val="both"/>
              <w:rPr>
                <w:rFonts w:ascii="Gudea" w:hAnsi="Gudea"/>
                <w:color w:val="0D414E"/>
                <w:sz w:val="22"/>
                <w:szCs w:val="22"/>
              </w:rPr>
            </w:pPr>
            <w:r>
              <w:rPr>
                <w:rFonts w:ascii="Gudea" w:hAnsi="Gudea"/>
                <w:color w:val="0D414E"/>
                <w:sz w:val="26"/>
                <w:szCs w:val="26"/>
              </w:rPr>
              <w:t>be a member of the management of an organisation, another foundation or similar, which receives or repeatedly within the past five years has received significant donations from the foundation.</w:t>
            </w:r>
            <w:r>
              <w:rPr>
                <w:rFonts w:ascii="Gudea" w:hAnsi="Gudea"/>
                <w:color w:val="0D414E"/>
                <w:sz w:val="22"/>
                <w:szCs w:val="22"/>
              </w:rPr>
              <w:t xml:space="preserve"> </w:t>
            </w:r>
          </w:p>
          <w:p w14:paraId="6FA2F031" w14:textId="76BA83F9" w:rsidR="0020487C" w:rsidRPr="007427DA" w:rsidRDefault="0020487C" w:rsidP="0020487C">
            <w:pPr>
              <w:pStyle w:val="Listeafsnit"/>
              <w:spacing w:line="276" w:lineRule="auto"/>
              <w:ind w:left="530"/>
              <w:jc w:val="both"/>
              <w:rPr>
                <w:rFonts w:ascii="Gudea" w:hAnsi="Gudea"/>
                <w:color w:val="0D414E"/>
                <w:sz w:val="22"/>
                <w:szCs w:val="22"/>
              </w:rPr>
            </w:pPr>
          </w:p>
        </w:tc>
        <w:tc>
          <w:tcPr>
            <w:tcW w:w="1844" w:type="dxa"/>
          </w:tcPr>
          <w:p w14:paraId="58E576D8" w14:textId="77777777"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760D1DC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03D1970"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Pr>
                <w:rFonts w:ascii="Gudea" w:hAnsi="Gudea"/>
                <w:b/>
                <w:color w:val="0D414E"/>
                <w:sz w:val="26"/>
                <w:szCs w:val="24"/>
              </w:rPr>
              <w:lastRenderedPageBreak/>
              <w:t>2.5 Appointment period</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Pr>
                <w:rFonts w:ascii="Gudea" w:hAnsi="Gudea"/>
                <w:b/>
                <w:bCs/>
                <w:color w:val="0D414E"/>
                <w:sz w:val="26"/>
                <w:szCs w:val="28"/>
              </w:rPr>
              <w:t>2.5.1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members of the board of directors be appointed for a minimum period of two years and a maximum period of four years. </w:t>
            </w:r>
          </w:p>
        </w:tc>
        <w:tc>
          <w:tcPr>
            <w:tcW w:w="1844" w:type="dxa"/>
          </w:tcPr>
          <w:p w14:paraId="7397695B" w14:textId="74AB029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12B1CC63"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9FA9D0C"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Pr>
                <w:rFonts w:ascii="Gudea" w:hAnsi="Gudea"/>
                <w:b/>
                <w:bCs/>
                <w:color w:val="0D414E"/>
                <w:sz w:val="26"/>
                <w:szCs w:val="28"/>
              </w:rPr>
              <w:t>2.5.2</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an age limit for members of the board of directors be set, which is published in the management commentary or on the foundation's website.</w:t>
            </w:r>
            <w:r>
              <w:rPr>
                <w:rFonts w:ascii="Gudea" w:hAnsi="Gudea"/>
                <w:sz w:val="20"/>
              </w:rPr>
              <w:t xml:space="preserve"> </w:t>
            </w:r>
          </w:p>
        </w:tc>
        <w:tc>
          <w:tcPr>
            <w:tcW w:w="1844" w:type="dxa"/>
            <w:tcBorders>
              <w:bottom w:val="single" w:sz="4" w:space="0" w:color="auto"/>
            </w:tcBorders>
          </w:tcPr>
          <w:p w14:paraId="76C79D9F" w14:textId="3528B23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62F6D518" w14:textId="383E9FAE" w:rsidR="005B2433" w:rsidRPr="00C21039" w:rsidRDefault="005B2433" w:rsidP="005B2433">
            <w:pPr>
              <w:jc w:val="both"/>
              <w:rPr>
                <w:rFonts w:ascii="Gudea" w:hAnsi="Gudea"/>
                <w:sz w:val="20"/>
              </w:rPr>
            </w:pPr>
          </w:p>
        </w:tc>
        <w:tc>
          <w:tcPr>
            <w:tcW w:w="2268" w:type="dxa"/>
            <w:tcBorders>
              <w:left w:val="single" w:sz="4" w:space="0" w:color="auto"/>
              <w:bottom w:val="single" w:sz="4" w:space="0" w:color="auto"/>
            </w:tcBorders>
          </w:tcPr>
          <w:p w14:paraId="3259EF22"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Pr>
                <w:rFonts w:ascii="Gudea" w:hAnsi="Gudea"/>
                <w:b/>
                <w:color w:val="0D414E"/>
                <w:sz w:val="26"/>
                <w:szCs w:val="24"/>
              </w:rPr>
              <w:t>2.6 Evaluation of the performance of the board of directors and executive board</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65D2C1FC" w14:textId="77777777" w:rsidR="005B2433" w:rsidRDefault="005B2433" w:rsidP="005B2433">
            <w:pPr>
              <w:spacing w:line="276" w:lineRule="auto"/>
              <w:jc w:val="both"/>
              <w:rPr>
                <w:rFonts w:ascii="Gudea" w:hAnsi="Gudea"/>
                <w:color w:val="0D414E"/>
                <w:sz w:val="26"/>
                <w:szCs w:val="28"/>
              </w:rPr>
            </w:pPr>
            <w:r>
              <w:rPr>
                <w:rFonts w:ascii="Gudea" w:hAnsi="Gudea"/>
                <w:b/>
                <w:bCs/>
                <w:color w:val="0D414E"/>
                <w:sz w:val="26"/>
                <w:szCs w:val="28"/>
              </w:rPr>
              <w:t>2.6.1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the board of directors establish an evaluation procedure in which the board of directors, the chairman and the contributions and performance of individual members are evaluated </w:t>
            </w:r>
            <w:r w:rsidR="001F1DDB">
              <w:rPr>
                <w:rFonts w:ascii="Gudea" w:hAnsi="Gudea"/>
                <w:color w:val="0D414E"/>
                <w:sz w:val="26"/>
                <w:szCs w:val="28"/>
              </w:rPr>
              <w:t>annually,</w:t>
            </w:r>
            <w:r>
              <w:rPr>
                <w:rFonts w:ascii="Gudea" w:hAnsi="Gudea"/>
                <w:color w:val="0D414E"/>
                <w:sz w:val="26"/>
                <w:szCs w:val="28"/>
              </w:rPr>
              <w:t xml:space="preserve"> and the result is discussed by the board of directors.</w:t>
            </w:r>
          </w:p>
          <w:p w14:paraId="0A1975C3" w14:textId="77777777" w:rsidR="001830E5" w:rsidRDefault="001830E5" w:rsidP="005B2433">
            <w:pPr>
              <w:spacing w:line="276" w:lineRule="auto"/>
              <w:jc w:val="both"/>
              <w:rPr>
                <w:rFonts w:ascii="Gudea" w:hAnsi="Gudea"/>
                <w:color w:val="0D414E"/>
                <w:sz w:val="26"/>
                <w:szCs w:val="28"/>
              </w:rPr>
            </w:pPr>
          </w:p>
          <w:p w14:paraId="5D9C1A0D" w14:textId="6168BCA2" w:rsidR="001830E5" w:rsidRPr="00C21039" w:rsidRDefault="001830E5" w:rsidP="005B2433">
            <w:pPr>
              <w:spacing w:line="276" w:lineRule="auto"/>
              <w:jc w:val="both"/>
              <w:rPr>
                <w:rFonts w:ascii="Gudea" w:hAnsi="Gudea"/>
                <w:sz w:val="20"/>
              </w:rPr>
            </w:pPr>
          </w:p>
        </w:tc>
        <w:tc>
          <w:tcPr>
            <w:tcW w:w="1844" w:type="dxa"/>
          </w:tcPr>
          <w:p w14:paraId="48A03CD7" w14:textId="1FE9D4A0"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64ACEF5"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3EF27874" w14:textId="77777777" w:rsidR="005B2433" w:rsidRPr="00C21039" w:rsidRDefault="005B2433" w:rsidP="005B2433">
            <w:pPr>
              <w:jc w:val="both"/>
              <w:rPr>
                <w:rFonts w:ascii="Gudea" w:hAnsi="Gudea"/>
                <w:sz w:val="20"/>
              </w:rPr>
            </w:pP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5B2433" w14:paraId="51A2A4C2" w14:textId="77777777" w:rsidTr="001830E5">
        <w:trPr>
          <w:trHeight w:val="2230"/>
        </w:trPr>
        <w:tc>
          <w:tcPr>
            <w:tcW w:w="6232" w:type="dxa"/>
          </w:tcPr>
          <w:p w14:paraId="10341E9D" w14:textId="77777777" w:rsidR="001714F8" w:rsidRPr="001714F8" w:rsidRDefault="001714F8" w:rsidP="005B2433">
            <w:pPr>
              <w:spacing w:line="276" w:lineRule="auto"/>
              <w:jc w:val="both"/>
              <w:rPr>
                <w:rFonts w:ascii="Gudea" w:hAnsi="Gudea"/>
                <w:b/>
                <w:bCs/>
                <w:color w:val="0D414E"/>
                <w:sz w:val="8"/>
                <w:szCs w:val="6"/>
              </w:rPr>
            </w:pPr>
          </w:p>
          <w:p w14:paraId="54229994" w14:textId="77777777" w:rsidR="005B2433" w:rsidRDefault="005B2433" w:rsidP="005B2433">
            <w:pPr>
              <w:spacing w:line="276" w:lineRule="auto"/>
              <w:jc w:val="both"/>
              <w:rPr>
                <w:rFonts w:ascii="Gudea" w:hAnsi="Gudea"/>
                <w:color w:val="0D414E"/>
                <w:sz w:val="26"/>
                <w:szCs w:val="28"/>
              </w:rPr>
            </w:pPr>
            <w:r>
              <w:rPr>
                <w:rFonts w:ascii="Gudea" w:hAnsi="Gudea"/>
                <w:b/>
                <w:bCs/>
                <w:color w:val="0D414E"/>
                <w:sz w:val="26"/>
                <w:szCs w:val="28"/>
              </w:rPr>
              <w:t>2.6.2</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once a year the board of directors evaluate the work and performance of the executive board and/or the administrator (where relevant) in accordance with predefined clear criteria.</w:t>
            </w:r>
          </w:p>
          <w:p w14:paraId="35609D9E" w14:textId="77777777" w:rsidR="001830E5" w:rsidRDefault="001830E5" w:rsidP="005B2433">
            <w:pPr>
              <w:spacing w:line="276" w:lineRule="auto"/>
              <w:jc w:val="both"/>
              <w:rPr>
                <w:rFonts w:ascii="Gudea" w:hAnsi="Gudea"/>
                <w:color w:val="0D414E"/>
                <w:sz w:val="26"/>
                <w:szCs w:val="28"/>
              </w:rPr>
            </w:pPr>
          </w:p>
          <w:p w14:paraId="5C579D78" w14:textId="1C7F2106" w:rsidR="00F06912" w:rsidRPr="00C21039" w:rsidRDefault="00F06912" w:rsidP="005B2433">
            <w:pPr>
              <w:spacing w:line="276" w:lineRule="auto"/>
              <w:jc w:val="both"/>
              <w:rPr>
                <w:rFonts w:ascii="Gudea" w:hAnsi="Gudea"/>
                <w:sz w:val="20"/>
              </w:rPr>
            </w:pPr>
          </w:p>
        </w:tc>
        <w:tc>
          <w:tcPr>
            <w:tcW w:w="1844" w:type="dxa"/>
          </w:tcPr>
          <w:p w14:paraId="2840E0C2" w14:textId="77777777" w:rsidR="005B2433" w:rsidRPr="00C21039" w:rsidRDefault="005B2433" w:rsidP="005B2433">
            <w:pPr>
              <w:jc w:val="both"/>
              <w:rPr>
                <w:rFonts w:ascii="Gudea" w:hAnsi="Gudea"/>
                <w:sz w:val="20"/>
              </w:rPr>
            </w:pPr>
          </w:p>
        </w:tc>
        <w:tc>
          <w:tcPr>
            <w:tcW w:w="2409" w:type="dxa"/>
            <w:gridSpan w:val="2"/>
            <w:tcBorders>
              <w:right w:val="single" w:sz="4" w:space="0" w:color="auto"/>
            </w:tcBorders>
          </w:tcPr>
          <w:p w14:paraId="5BFB35F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F52F7A3" w14:textId="77777777" w:rsidR="005B2433" w:rsidRPr="00C21039" w:rsidRDefault="005B2433" w:rsidP="005B2433">
            <w:pPr>
              <w:jc w:val="both"/>
              <w:rPr>
                <w:rFonts w:ascii="Gudea" w:hAnsi="Gudea"/>
                <w:sz w:val="20"/>
              </w:rPr>
            </w:pPr>
          </w:p>
        </w:tc>
        <w:tc>
          <w:tcPr>
            <w:tcW w:w="1418" w:type="dxa"/>
          </w:tcPr>
          <w:p w14:paraId="3CF3020E" w14:textId="77777777" w:rsidR="005B2433" w:rsidRPr="00C21039" w:rsidRDefault="005B2433" w:rsidP="005B2433">
            <w:pPr>
              <w:jc w:val="both"/>
              <w:rPr>
                <w:rFonts w:ascii="Gudea" w:hAnsi="Gudea"/>
                <w:sz w:val="20"/>
              </w:rPr>
            </w:pPr>
          </w:p>
        </w:tc>
      </w:tr>
      <w:tr w:rsidR="005B2433" w14:paraId="3A1135E0" w14:textId="77777777" w:rsidTr="001A1698">
        <w:trPr>
          <w:trHeight w:val="556"/>
        </w:trPr>
        <w:tc>
          <w:tcPr>
            <w:tcW w:w="14171" w:type="dxa"/>
            <w:gridSpan w:val="6"/>
            <w:shd w:val="clear" w:color="auto" w:fill="98B5C1"/>
            <w:vAlign w:val="center"/>
          </w:tcPr>
          <w:p w14:paraId="67977FDD" w14:textId="77777777" w:rsidR="005B2433" w:rsidRPr="00C21039" w:rsidRDefault="005B2433" w:rsidP="005B2433">
            <w:pPr>
              <w:jc w:val="both"/>
              <w:rPr>
                <w:rFonts w:ascii="Gudea" w:hAnsi="Gudea"/>
                <w:b/>
                <w:color w:val="FFFFFF" w:themeColor="background1"/>
              </w:rPr>
            </w:pPr>
            <w:r>
              <w:rPr>
                <w:rFonts w:ascii="Gudea" w:hAnsi="Gudea"/>
                <w:b/>
                <w:color w:val="0D414E"/>
                <w:sz w:val="26"/>
                <w:szCs w:val="22"/>
              </w:rPr>
              <w:lastRenderedPageBreak/>
              <w:t>3. Remuneration of management</w:t>
            </w:r>
          </w:p>
        </w:tc>
      </w:tr>
      <w:tr w:rsidR="005B2433" w14:paraId="7918A582" w14:textId="77777777" w:rsidTr="001A1698">
        <w:trPr>
          <w:trHeight w:val="1838"/>
        </w:trPr>
        <w:tc>
          <w:tcPr>
            <w:tcW w:w="6232" w:type="dxa"/>
          </w:tcPr>
          <w:p w14:paraId="38330D8F" w14:textId="77777777" w:rsidR="001714F8" w:rsidRPr="001714F8" w:rsidRDefault="001714F8" w:rsidP="005B2433">
            <w:pPr>
              <w:spacing w:line="276" w:lineRule="auto"/>
              <w:jc w:val="both"/>
              <w:rPr>
                <w:rFonts w:ascii="Gudea" w:hAnsi="Gudea"/>
                <w:b/>
                <w:bCs/>
                <w:color w:val="0D414E"/>
                <w:sz w:val="8"/>
                <w:szCs w:val="8"/>
              </w:rPr>
            </w:pPr>
          </w:p>
          <w:p w14:paraId="08CCB54F" w14:textId="77777777" w:rsidR="005B2433" w:rsidRPr="008E0DB4" w:rsidRDefault="005B2433" w:rsidP="005B2433">
            <w:pPr>
              <w:spacing w:line="276" w:lineRule="auto"/>
              <w:jc w:val="both"/>
              <w:rPr>
                <w:rFonts w:ascii="Gudea" w:hAnsi="Gudea"/>
                <w:color w:val="0D414E"/>
                <w:sz w:val="26"/>
                <w:szCs w:val="28"/>
              </w:rPr>
            </w:pPr>
            <w:r>
              <w:rPr>
                <w:rFonts w:ascii="Gudea" w:hAnsi="Gudea"/>
                <w:b/>
                <w:bCs/>
                <w:color w:val="0D414E"/>
                <w:sz w:val="26"/>
                <w:szCs w:val="28"/>
              </w:rPr>
              <w:t>3.1.1</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the members of the board of directors of commercial foundations be remunerated with a fixed remuneration and that members of an executive board, if any, be remunerated with a fixed remuneration, possibly combined with a bonus which should not be dependent upon accounting results. The remuneration should reflect the work and responsibilities consequential to the position.</w:t>
            </w:r>
          </w:p>
          <w:p w14:paraId="414C9E21" w14:textId="64D2DF48" w:rsidR="00492DAC" w:rsidRPr="00492DAC" w:rsidRDefault="00492DAC" w:rsidP="005B2433">
            <w:pPr>
              <w:spacing w:line="276" w:lineRule="auto"/>
              <w:jc w:val="both"/>
              <w:rPr>
                <w:rFonts w:ascii="Gudea" w:hAnsi="Gudea"/>
                <w:sz w:val="14"/>
                <w:szCs w:val="14"/>
              </w:rPr>
            </w:pPr>
          </w:p>
        </w:tc>
        <w:tc>
          <w:tcPr>
            <w:tcW w:w="1844" w:type="dxa"/>
          </w:tcPr>
          <w:p w14:paraId="335B23F7" w14:textId="77777777"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A7F9B9D"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1C81AA8F" w14:textId="77777777" w:rsidR="005B2433" w:rsidRPr="00C21039" w:rsidRDefault="005B2433" w:rsidP="005B2433">
            <w:pPr>
              <w:jc w:val="both"/>
              <w:rPr>
                <w:rFonts w:ascii="Gudea" w:hAnsi="Gudea"/>
                <w:sz w:val="20"/>
              </w:rPr>
            </w:pPr>
          </w:p>
        </w:tc>
        <w:tc>
          <w:tcPr>
            <w:tcW w:w="1418" w:type="dxa"/>
          </w:tcPr>
          <w:p w14:paraId="3578DF3B" w14:textId="77777777" w:rsidR="005B2433" w:rsidRPr="00C21039" w:rsidRDefault="005B2433" w:rsidP="005B2433">
            <w:pPr>
              <w:jc w:val="both"/>
              <w:rPr>
                <w:rFonts w:ascii="Gudea" w:hAnsi="Gudea"/>
                <w:sz w:val="20"/>
              </w:rPr>
            </w:pPr>
          </w:p>
        </w:tc>
      </w:tr>
      <w:tr w:rsidR="005B2433" w14:paraId="51BC7C2C" w14:textId="77777777" w:rsidTr="000E44E5">
        <w:trPr>
          <w:trHeight w:val="827"/>
        </w:trPr>
        <w:tc>
          <w:tcPr>
            <w:tcW w:w="6232" w:type="dxa"/>
          </w:tcPr>
          <w:p w14:paraId="2F97EF35" w14:textId="77777777" w:rsidR="00492DAC" w:rsidRPr="00492DAC" w:rsidRDefault="00492DAC" w:rsidP="005B2433">
            <w:pPr>
              <w:spacing w:line="276" w:lineRule="auto"/>
              <w:jc w:val="both"/>
              <w:rPr>
                <w:rFonts w:ascii="Gudea" w:hAnsi="Gudea"/>
                <w:b/>
                <w:bCs/>
                <w:color w:val="0D414E"/>
                <w:sz w:val="8"/>
                <w:szCs w:val="8"/>
              </w:rPr>
            </w:pPr>
          </w:p>
          <w:p w14:paraId="41926C94" w14:textId="2DBE6807" w:rsidR="00492DAC" w:rsidRPr="00840142" w:rsidRDefault="005B2433" w:rsidP="005B2433">
            <w:pPr>
              <w:spacing w:line="276" w:lineRule="auto"/>
              <w:jc w:val="both"/>
              <w:rPr>
                <w:rFonts w:ascii="Gudea" w:hAnsi="Gudea"/>
                <w:color w:val="0D414E"/>
                <w:sz w:val="26"/>
                <w:szCs w:val="28"/>
              </w:rPr>
            </w:pPr>
            <w:r>
              <w:rPr>
                <w:rFonts w:ascii="Gudea" w:hAnsi="Gudea"/>
                <w:b/>
                <w:bCs/>
                <w:color w:val="0D414E"/>
                <w:sz w:val="26"/>
                <w:szCs w:val="28"/>
              </w:rPr>
              <w:t>3.1.2</w:t>
            </w:r>
            <w:r>
              <w:rPr>
                <w:rFonts w:ascii="Gudea" w:hAnsi="Gudea"/>
                <w:color w:val="0D414E"/>
                <w:sz w:val="26"/>
                <w:szCs w:val="28"/>
              </w:rPr>
              <w:t xml:space="preserve"> It is </w:t>
            </w:r>
            <w:r>
              <w:rPr>
                <w:rFonts w:ascii="Gudea" w:hAnsi="Gudea"/>
                <w:b/>
                <w:color w:val="0D414E"/>
                <w:sz w:val="26"/>
                <w:szCs w:val="28"/>
              </w:rPr>
              <w:t>recommended</w:t>
            </w:r>
            <w:r>
              <w:rPr>
                <w:rFonts w:ascii="Gudea" w:hAnsi="Gudea"/>
                <w:color w:val="0D414E"/>
                <w:sz w:val="26"/>
                <w:szCs w:val="28"/>
              </w:rPr>
              <w:t xml:space="preserve"> that the financial statements provide information about the full remuneration received by each member of the board of directors and any executive board from the commercial foundation and from the foundation's subsidiaries and associate</w:t>
            </w:r>
            <w:r w:rsidR="000E44E5">
              <w:rPr>
                <w:rFonts w:ascii="Gudea" w:hAnsi="Gudea"/>
                <w:color w:val="0D414E"/>
                <w:sz w:val="26"/>
                <w:szCs w:val="28"/>
              </w:rPr>
              <w:t>d companies</w:t>
            </w:r>
            <w:r>
              <w:rPr>
                <w:rFonts w:ascii="Gudea" w:hAnsi="Gudea"/>
                <w:color w:val="0D414E"/>
                <w:sz w:val="26"/>
                <w:szCs w:val="28"/>
              </w:rPr>
              <w:t xml:space="preserve">. </w:t>
            </w:r>
            <w:proofErr w:type="gramStart"/>
            <w:r>
              <w:rPr>
                <w:rFonts w:ascii="Gudea" w:hAnsi="Gudea"/>
                <w:color w:val="0D414E"/>
                <w:sz w:val="26"/>
                <w:szCs w:val="28"/>
              </w:rPr>
              <w:t>Furthermore</w:t>
            </w:r>
            <w:proofErr w:type="gramEnd"/>
            <w:r>
              <w:rPr>
                <w:rFonts w:ascii="Gudea" w:hAnsi="Gudea"/>
                <w:color w:val="0D414E"/>
                <w:sz w:val="26"/>
                <w:szCs w:val="28"/>
              </w:rPr>
              <w:t xml:space="preserve"> there should be information on any other remuneration which members of the board of directors and any executive board have received for performing other work or tasks for the foundation, the foundation's subsidiaries or associate</w:t>
            </w:r>
            <w:r w:rsidR="000E44E5">
              <w:rPr>
                <w:rFonts w:ascii="Gudea" w:hAnsi="Gudea"/>
                <w:color w:val="0D414E"/>
                <w:sz w:val="26"/>
                <w:szCs w:val="28"/>
              </w:rPr>
              <w:t>d companies</w:t>
            </w:r>
            <w:r>
              <w:rPr>
                <w:rFonts w:ascii="Gudea" w:hAnsi="Gudea"/>
                <w:color w:val="0D414E"/>
                <w:sz w:val="26"/>
                <w:szCs w:val="28"/>
              </w:rPr>
              <w:t xml:space="preserve">, </w:t>
            </w:r>
            <w:r>
              <w:rPr>
                <w:rFonts w:ascii="Gudea" w:hAnsi="Gudea"/>
                <w:color w:val="0D414E"/>
                <w:sz w:val="26"/>
                <w:szCs w:val="28"/>
              </w:rPr>
              <w:lastRenderedPageBreak/>
              <w:t>except for the remuneration of employee representatives as employees.</w:t>
            </w:r>
          </w:p>
        </w:tc>
        <w:tc>
          <w:tcPr>
            <w:tcW w:w="1844" w:type="dxa"/>
          </w:tcPr>
          <w:p w14:paraId="295C4973" w14:textId="77777777" w:rsidR="005B2433" w:rsidRPr="00C21039" w:rsidRDefault="005B2433" w:rsidP="005B2433">
            <w:pPr>
              <w:jc w:val="both"/>
              <w:rPr>
                <w:rFonts w:ascii="Gudea" w:hAnsi="Gudea"/>
                <w:sz w:val="20"/>
              </w:rPr>
            </w:pPr>
          </w:p>
        </w:tc>
        <w:tc>
          <w:tcPr>
            <w:tcW w:w="2409" w:type="dxa"/>
            <w:gridSpan w:val="2"/>
            <w:tcBorders>
              <w:right w:val="single" w:sz="4" w:space="0" w:color="auto"/>
            </w:tcBorders>
          </w:tcPr>
          <w:p w14:paraId="547A98E4"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E48540B" w14:textId="77777777" w:rsidR="005B2433" w:rsidRPr="00C21039" w:rsidRDefault="005B2433" w:rsidP="005B2433">
            <w:pPr>
              <w:jc w:val="both"/>
              <w:rPr>
                <w:rFonts w:ascii="Gudea" w:hAnsi="Gudea"/>
                <w:sz w:val="20"/>
              </w:rPr>
            </w:pPr>
          </w:p>
        </w:tc>
        <w:tc>
          <w:tcPr>
            <w:tcW w:w="1418" w:type="dxa"/>
          </w:tcPr>
          <w:p w14:paraId="37CD1572" w14:textId="77777777" w:rsidR="005B2433" w:rsidRPr="00C21039" w:rsidRDefault="005B2433" w:rsidP="005B2433">
            <w:pPr>
              <w:jc w:val="both"/>
              <w:rPr>
                <w:rFonts w:ascii="Gudea" w:hAnsi="Gudea"/>
                <w:sz w:val="20"/>
              </w:rPr>
            </w:pPr>
          </w:p>
        </w:tc>
      </w:tr>
    </w:tbl>
    <w:p w14:paraId="7595B2E0" w14:textId="73B3A99F" w:rsidR="00D33D83" w:rsidRPr="00D33D83" w:rsidRDefault="00D33D83" w:rsidP="00364856">
      <w:pPr>
        <w:rPr>
          <w:rFonts w:ascii="Gudea" w:hAnsi="Gudea"/>
        </w:rPr>
      </w:pPr>
    </w:p>
    <w:sectPr w:rsidR="00D33D83" w:rsidRPr="00D33D83"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B0C2" w14:textId="77777777" w:rsidR="00296122" w:rsidRDefault="00296122" w:rsidP="00EC76D3">
      <w:r>
        <w:separator/>
      </w:r>
    </w:p>
  </w:endnote>
  <w:endnote w:type="continuationSeparator" w:id="0">
    <w:p w14:paraId="09047335" w14:textId="77777777" w:rsidR="00296122" w:rsidRDefault="00296122"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Calibri"/>
    <w:charset w:val="00"/>
    <w:family w:val="auto"/>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Content>
      <w:p w14:paraId="34B3B775" w14:textId="103E66A2" w:rsidR="00BC0B0D" w:rsidRPr="006B2A8E" w:rsidRDefault="00BC0B0D">
        <w:pPr>
          <w:pStyle w:val="Sidefod"/>
          <w:jc w:val="right"/>
          <w:rPr>
            <w:sz w:val="20"/>
            <w:szCs w:val="16"/>
          </w:rPr>
        </w:pPr>
        <w:r>
          <w:rPr>
            <w:sz w:val="20"/>
            <w:szCs w:val="16"/>
          </w:rPr>
          <w:fldChar w:fldCharType="begin"/>
        </w:r>
        <w:r w:rsidRPr="006B2A8E">
          <w:rPr>
            <w:sz w:val="20"/>
            <w:szCs w:val="16"/>
          </w:rPr>
          <w:instrText>PAGE   \* MERGEFORMAT</w:instrText>
        </w:r>
        <w:r>
          <w:rPr>
            <w:sz w:val="20"/>
            <w:szCs w:val="16"/>
          </w:rPr>
          <w:fldChar w:fldCharType="separate"/>
        </w:r>
        <w:r w:rsidRPr="006B2A8E">
          <w:rPr>
            <w:sz w:val="20"/>
            <w:szCs w:val="16"/>
          </w:rPr>
          <w:t>2</w:t>
        </w:r>
        <w:r>
          <w:fldChar w:fldCharType="end"/>
        </w:r>
      </w:p>
    </w:sdtContent>
  </w:sdt>
  <w:p w14:paraId="6C669F91" w14:textId="32431C97" w:rsidR="00BC0B0D" w:rsidRPr="00077EEC" w:rsidRDefault="00303EEC" w:rsidP="006B2A8E">
    <w:pPr>
      <w:pStyle w:val="Sidefod"/>
      <w:ind w:right="360"/>
      <w:rPr>
        <w:rFonts w:ascii="Gudea" w:hAnsi="Gudea"/>
        <w:color w:val="0D414E"/>
        <w:sz w:val="22"/>
      </w:rPr>
    </w:pPr>
    <w:r>
      <w:rPr>
        <w:rFonts w:ascii="Gudea" w:hAnsi="Gudea"/>
        <w:color w:val="0D414E"/>
        <w:sz w:val="22"/>
      </w:rPr>
      <w:t>R</w:t>
    </w:r>
    <w:r w:rsidR="006B2A8E">
      <w:rPr>
        <w:rFonts w:ascii="Gudea" w:hAnsi="Gudea"/>
        <w:color w:val="0D414E"/>
        <w:sz w:val="22"/>
      </w:rPr>
      <w:t xml:space="preserve">eport on foundation governance, cf. section 77a of the Financial Statements Act.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4E82" w14:textId="77777777" w:rsidR="00296122" w:rsidRDefault="00296122" w:rsidP="00EC76D3">
      <w:r>
        <w:separator/>
      </w:r>
    </w:p>
  </w:footnote>
  <w:footnote w:type="continuationSeparator" w:id="0">
    <w:p w14:paraId="0BAB97C0" w14:textId="77777777" w:rsidR="00296122" w:rsidRDefault="00296122" w:rsidP="00EC76D3">
      <w:r>
        <w:continuationSeparator/>
      </w:r>
    </w:p>
  </w:footnote>
  <w:footnote w:id="1">
    <w:p w14:paraId="638A2BE6" w14:textId="32E6385B" w:rsidR="00C0243B" w:rsidRPr="002B5BBD" w:rsidRDefault="00C0243B">
      <w:pPr>
        <w:pStyle w:val="Fodnotetekst"/>
        <w:rPr>
          <w:rFonts w:ascii="Gudea" w:hAnsi="Gudea"/>
          <w:color w:val="0D414E"/>
          <w:sz w:val="18"/>
          <w:szCs w:val="18"/>
          <w:lang w:val="en-US"/>
        </w:rPr>
      </w:pPr>
      <w:r w:rsidRPr="002B5BBD">
        <w:rPr>
          <w:rStyle w:val="Fodnotehenvisning"/>
          <w:rFonts w:ascii="Gudea" w:hAnsi="Gudea"/>
          <w:color w:val="0D414E"/>
          <w:sz w:val="18"/>
          <w:szCs w:val="18"/>
        </w:rPr>
        <w:footnoteRef/>
      </w:r>
      <w:r w:rsidRPr="002B5BBD">
        <w:rPr>
          <w:rFonts w:ascii="Gudea" w:hAnsi="Gudea"/>
          <w:color w:val="0D414E"/>
          <w:sz w:val="18"/>
          <w:szCs w:val="18"/>
          <w:lang w:val="en-US"/>
        </w:rPr>
        <w:t xml:space="preserve"> In Danish </w:t>
      </w:r>
      <w:proofErr w:type="spellStart"/>
      <w:r w:rsidRPr="002B5BBD">
        <w:rPr>
          <w:rFonts w:ascii="Gudea" w:hAnsi="Gudea"/>
          <w:color w:val="0D414E"/>
          <w:sz w:val="18"/>
          <w:szCs w:val="18"/>
          <w:lang w:val="en-US"/>
        </w:rPr>
        <w:t>Årsregnskabsloven</w:t>
      </w:r>
      <w:proofErr w:type="spellEnd"/>
      <w:r w:rsidR="00C1262C" w:rsidRPr="002B5BBD">
        <w:rPr>
          <w:rFonts w:ascii="Gudea" w:hAnsi="Gudea"/>
          <w:color w:val="0D414E"/>
          <w:sz w:val="18"/>
          <w:szCs w:val="18"/>
          <w:lang w:val="en-US"/>
        </w:rPr>
        <w:t>,</w:t>
      </w:r>
      <w:r w:rsidRPr="002B5BBD">
        <w:rPr>
          <w:rFonts w:ascii="Gudea" w:hAnsi="Gudea"/>
          <w:color w:val="0D414E"/>
          <w:sz w:val="18"/>
          <w:szCs w:val="18"/>
          <w:lang w:val="en-US"/>
        </w:rPr>
        <w:t xml:space="preserve"> LBK nr. 838 </w:t>
      </w:r>
      <w:proofErr w:type="spellStart"/>
      <w:r w:rsidRPr="002B5BBD">
        <w:rPr>
          <w:rFonts w:ascii="Gudea" w:hAnsi="Gudea"/>
          <w:color w:val="0D414E"/>
          <w:sz w:val="18"/>
          <w:szCs w:val="18"/>
          <w:lang w:val="en-US"/>
        </w:rPr>
        <w:t>af</w:t>
      </w:r>
      <w:proofErr w:type="spellEnd"/>
      <w:r w:rsidRPr="002B5BBD">
        <w:rPr>
          <w:rFonts w:ascii="Gudea" w:hAnsi="Gudea"/>
          <w:color w:val="0D414E"/>
          <w:sz w:val="18"/>
          <w:szCs w:val="18"/>
          <w:lang w:val="en-US"/>
        </w:rPr>
        <w:t xml:space="preserve"> 8. august 2019 with later amendments.</w:t>
      </w:r>
    </w:p>
  </w:footnote>
  <w:footnote w:id="2">
    <w:p w14:paraId="3CDB9BBB" w14:textId="73248F1C" w:rsidR="00C0243B" w:rsidRPr="00C0243B" w:rsidRDefault="00C0243B">
      <w:pPr>
        <w:pStyle w:val="Fodnotetekst"/>
        <w:rPr>
          <w:lang w:val="da-DK"/>
        </w:rPr>
      </w:pPr>
      <w:r w:rsidRPr="002B5BBD">
        <w:rPr>
          <w:rStyle w:val="Fodnotehenvisning"/>
          <w:rFonts w:ascii="Gudea" w:hAnsi="Gudea"/>
          <w:color w:val="0D414E"/>
          <w:sz w:val="18"/>
          <w:szCs w:val="18"/>
        </w:rPr>
        <w:footnoteRef/>
      </w:r>
      <w:r w:rsidRPr="002B5BBD">
        <w:rPr>
          <w:rFonts w:ascii="Gudea" w:hAnsi="Gudea"/>
          <w:color w:val="0D414E"/>
          <w:sz w:val="18"/>
          <w:szCs w:val="18"/>
          <w:lang w:val="da-DK"/>
        </w:rPr>
        <w:t xml:space="preserve"> In Danish Bekendtgørelse om offentliggørelse af en række redegørelser efter årsregnskabsloven, BEK nr. 959 af 13. september 2019</w:t>
      </w:r>
    </w:p>
  </w:footnote>
  <w:footnote w:id="3">
    <w:p w14:paraId="52B9D841" w14:textId="07C292A6" w:rsidR="00C0243B" w:rsidRPr="00745826" w:rsidRDefault="00C0243B">
      <w:pPr>
        <w:pStyle w:val="Fodnotetekst"/>
        <w:rPr>
          <w:rFonts w:ascii="Gudea" w:hAnsi="Gudea"/>
          <w:sz w:val="18"/>
          <w:szCs w:val="18"/>
          <w:lang w:val="da-DK"/>
        </w:rPr>
      </w:pPr>
      <w:r w:rsidRPr="00745826">
        <w:rPr>
          <w:rStyle w:val="Fodnotehenvisning"/>
          <w:rFonts w:ascii="Gudea" w:hAnsi="Gudea"/>
          <w:color w:val="0D414E"/>
          <w:sz w:val="18"/>
          <w:szCs w:val="18"/>
        </w:rPr>
        <w:footnoteRef/>
      </w:r>
      <w:r w:rsidRPr="00745826">
        <w:rPr>
          <w:rFonts w:ascii="Gudea" w:hAnsi="Gudea"/>
          <w:color w:val="0D414E"/>
          <w:sz w:val="18"/>
          <w:szCs w:val="18"/>
          <w:lang w:val="da-DK"/>
        </w:rPr>
        <w:t xml:space="preserve"> In Danish Lov om erhvervsdrivende fonde, LBK nr. 984 af 20. september 2019</w:t>
      </w:r>
    </w:p>
  </w:footnote>
  <w:footnote w:id="4">
    <w:p w14:paraId="41EDAEC0" w14:textId="77777777" w:rsidR="00D674D9" w:rsidRPr="00745826" w:rsidRDefault="00D674D9">
      <w:pPr>
        <w:pStyle w:val="Fodnotetekst"/>
        <w:rPr>
          <w:rFonts w:ascii="Gudea" w:hAnsi="Gudea"/>
          <w:sz w:val="18"/>
          <w:szCs w:val="18"/>
        </w:rPr>
      </w:pPr>
      <w:r w:rsidRPr="00745826">
        <w:rPr>
          <w:rFonts w:ascii="Gudea" w:hAnsi="Gudea"/>
          <w:color w:val="0D414E"/>
          <w:sz w:val="18"/>
          <w:szCs w:val="18"/>
          <w:vertAlign w:val="superscript"/>
        </w:rPr>
        <w:footnoteRef/>
      </w:r>
      <w:r w:rsidRPr="00745826">
        <w:rPr>
          <w:rFonts w:ascii="Gudea" w:hAnsi="Gudea"/>
          <w:color w:val="0D414E"/>
          <w:sz w:val="18"/>
          <w:szCs w:val="18"/>
        </w:rPr>
        <w:t xml:space="preserve"> In case of lack of compliance with a recommendation, the foundation must explain </w:t>
      </w:r>
      <w:r w:rsidRPr="00745826">
        <w:rPr>
          <w:rFonts w:ascii="Gudea" w:hAnsi="Gudea"/>
          <w:i/>
          <w:color w:val="0D414E"/>
          <w:sz w:val="18"/>
          <w:szCs w:val="18"/>
        </w:rPr>
        <w:t>why</w:t>
      </w:r>
      <w:r w:rsidRPr="00745826">
        <w:rPr>
          <w:rFonts w:ascii="Gudea" w:hAnsi="Gudea"/>
          <w:color w:val="0D414E"/>
          <w:sz w:val="18"/>
          <w:szCs w:val="18"/>
        </w:rPr>
        <w:t xml:space="preserve"> this recommendation was not followed and</w:t>
      </w:r>
      <w:r w:rsidRPr="00745826">
        <w:rPr>
          <w:rFonts w:ascii="Gudea" w:hAnsi="Gudea"/>
          <w:i/>
          <w:color w:val="0D414E"/>
          <w:sz w:val="18"/>
          <w:szCs w:val="18"/>
        </w:rPr>
        <w:t xml:space="preserve"> how </w:t>
      </w:r>
      <w:r w:rsidRPr="00745826">
        <w:rPr>
          <w:rFonts w:ascii="Gudea" w:hAnsi="Gudea"/>
          <w:color w:val="0D414E"/>
          <w:sz w:val="18"/>
          <w:szCs w:val="18"/>
        </w:rPr>
        <w:t xml:space="preserve">the foundation has acted differently. An adequate explanation answers both questions and categorises the answer as </w:t>
      </w:r>
      <w:proofErr w:type="gramStart"/>
      <w:r w:rsidRPr="00745826">
        <w:rPr>
          <w:rFonts w:ascii="Gudea" w:hAnsi="Gudea"/>
          <w:color w:val="0D414E"/>
          <w:sz w:val="18"/>
          <w:szCs w:val="18"/>
        </w:rPr>
        <w:t>being in compliance with</w:t>
      </w:r>
      <w:proofErr w:type="gramEnd"/>
      <w:r w:rsidRPr="00745826">
        <w:rPr>
          <w:rFonts w:ascii="Gudea" w:hAnsi="Gudea"/>
          <w:color w:val="0D414E"/>
          <w:sz w:val="18"/>
          <w:szCs w:val="18"/>
        </w:rPr>
        <w:t xml:space="preserve"> the recommendation. It is therefore important that the foundation answer both questions in its explanation.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16cid:durableId="1636057190">
    <w:abstractNumId w:val="5"/>
  </w:num>
  <w:num w:numId="2" w16cid:durableId="1613778668">
    <w:abstractNumId w:val="0"/>
  </w:num>
  <w:num w:numId="3" w16cid:durableId="1906793675">
    <w:abstractNumId w:val="2"/>
  </w:num>
  <w:num w:numId="4" w16cid:durableId="877857739">
    <w:abstractNumId w:val="1"/>
  </w:num>
  <w:num w:numId="5" w16cid:durableId="2110857126">
    <w:abstractNumId w:val="3"/>
  </w:num>
  <w:num w:numId="6" w16cid:durableId="1458136917">
    <w:abstractNumId w:val="6"/>
  </w:num>
  <w:num w:numId="7" w16cid:durableId="820195006">
    <w:abstractNumId w:val="7"/>
  </w:num>
  <w:num w:numId="8" w16cid:durableId="128934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102E3"/>
    <w:rsid w:val="0003126E"/>
    <w:rsid w:val="0003326F"/>
    <w:rsid w:val="0004147C"/>
    <w:rsid w:val="000448D5"/>
    <w:rsid w:val="0005319D"/>
    <w:rsid w:val="0005653A"/>
    <w:rsid w:val="00063BD1"/>
    <w:rsid w:val="000663DA"/>
    <w:rsid w:val="00070C75"/>
    <w:rsid w:val="00076C3B"/>
    <w:rsid w:val="00077EEC"/>
    <w:rsid w:val="00095ECE"/>
    <w:rsid w:val="000A7C71"/>
    <w:rsid w:val="000B3878"/>
    <w:rsid w:val="000C5685"/>
    <w:rsid w:val="000C5D9C"/>
    <w:rsid w:val="000D0347"/>
    <w:rsid w:val="000D047F"/>
    <w:rsid w:val="000D7A99"/>
    <w:rsid w:val="000E44E5"/>
    <w:rsid w:val="000E573B"/>
    <w:rsid w:val="000E6A5F"/>
    <w:rsid w:val="000F13C9"/>
    <w:rsid w:val="000F7CF6"/>
    <w:rsid w:val="00101BB1"/>
    <w:rsid w:val="001148A6"/>
    <w:rsid w:val="00140D8A"/>
    <w:rsid w:val="001415E4"/>
    <w:rsid w:val="001427F7"/>
    <w:rsid w:val="001666CD"/>
    <w:rsid w:val="001714F8"/>
    <w:rsid w:val="00172C8A"/>
    <w:rsid w:val="0017524F"/>
    <w:rsid w:val="00181FC9"/>
    <w:rsid w:val="001830E5"/>
    <w:rsid w:val="00187F29"/>
    <w:rsid w:val="001915E4"/>
    <w:rsid w:val="00196018"/>
    <w:rsid w:val="001A1698"/>
    <w:rsid w:val="001A3650"/>
    <w:rsid w:val="001A607E"/>
    <w:rsid w:val="001A6130"/>
    <w:rsid w:val="001B4DB6"/>
    <w:rsid w:val="001B7932"/>
    <w:rsid w:val="001C40CB"/>
    <w:rsid w:val="001D536A"/>
    <w:rsid w:val="001E26E4"/>
    <w:rsid w:val="001E5337"/>
    <w:rsid w:val="001E6EA2"/>
    <w:rsid w:val="001F1DDB"/>
    <w:rsid w:val="001F3A12"/>
    <w:rsid w:val="0020487C"/>
    <w:rsid w:val="0020626A"/>
    <w:rsid w:val="00207D27"/>
    <w:rsid w:val="002105F4"/>
    <w:rsid w:val="00223FAF"/>
    <w:rsid w:val="00227881"/>
    <w:rsid w:val="00240D83"/>
    <w:rsid w:val="00243686"/>
    <w:rsid w:val="00243794"/>
    <w:rsid w:val="002473D1"/>
    <w:rsid w:val="00251BB5"/>
    <w:rsid w:val="00262431"/>
    <w:rsid w:val="00265EFC"/>
    <w:rsid w:val="002702A3"/>
    <w:rsid w:val="00273F0C"/>
    <w:rsid w:val="0027461E"/>
    <w:rsid w:val="00285241"/>
    <w:rsid w:val="00295073"/>
    <w:rsid w:val="00296122"/>
    <w:rsid w:val="002A3470"/>
    <w:rsid w:val="002A58D6"/>
    <w:rsid w:val="002A6CDA"/>
    <w:rsid w:val="002B1659"/>
    <w:rsid w:val="002B5BBD"/>
    <w:rsid w:val="002C2A60"/>
    <w:rsid w:val="002E294F"/>
    <w:rsid w:val="002F6753"/>
    <w:rsid w:val="00303EEC"/>
    <w:rsid w:val="00304775"/>
    <w:rsid w:val="00315AAC"/>
    <w:rsid w:val="0032430D"/>
    <w:rsid w:val="00337CEC"/>
    <w:rsid w:val="00346AD4"/>
    <w:rsid w:val="00346B7D"/>
    <w:rsid w:val="00362722"/>
    <w:rsid w:val="00364856"/>
    <w:rsid w:val="00376067"/>
    <w:rsid w:val="00383A20"/>
    <w:rsid w:val="003A0944"/>
    <w:rsid w:val="003A4B7F"/>
    <w:rsid w:val="003C412A"/>
    <w:rsid w:val="003D75B5"/>
    <w:rsid w:val="003E5892"/>
    <w:rsid w:val="003F4580"/>
    <w:rsid w:val="00401EF6"/>
    <w:rsid w:val="0041089E"/>
    <w:rsid w:val="00417F1B"/>
    <w:rsid w:val="004242E0"/>
    <w:rsid w:val="0045162E"/>
    <w:rsid w:val="004579A4"/>
    <w:rsid w:val="004718B5"/>
    <w:rsid w:val="00484BEC"/>
    <w:rsid w:val="00491625"/>
    <w:rsid w:val="00491E61"/>
    <w:rsid w:val="00492DAC"/>
    <w:rsid w:val="004B374E"/>
    <w:rsid w:val="004C4BAA"/>
    <w:rsid w:val="004C6342"/>
    <w:rsid w:val="004E2075"/>
    <w:rsid w:val="004E25A5"/>
    <w:rsid w:val="004E35F7"/>
    <w:rsid w:val="004E678F"/>
    <w:rsid w:val="004E7809"/>
    <w:rsid w:val="004F4274"/>
    <w:rsid w:val="005059DB"/>
    <w:rsid w:val="00506503"/>
    <w:rsid w:val="0050719D"/>
    <w:rsid w:val="00512D55"/>
    <w:rsid w:val="00513B26"/>
    <w:rsid w:val="0052273C"/>
    <w:rsid w:val="0052521C"/>
    <w:rsid w:val="00531574"/>
    <w:rsid w:val="005346C3"/>
    <w:rsid w:val="00534E62"/>
    <w:rsid w:val="00535490"/>
    <w:rsid w:val="00541127"/>
    <w:rsid w:val="00546FFD"/>
    <w:rsid w:val="00554779"/>
    <w:rsid w:val="00566864"/>
    <w:rsid w:val="00595BAB"/>
    <w:rsid w:val="005B2433"/>
    <w:rsid w:val="005B6D00"/>
    <w:rsid w:val="005C3C13"/>
    <w:rsid w:val="005C5818"/>
    <w:rsid w:val="005D1AAE"/>
    <w:rsid w:val="005F416B"/>
    <w:rsid w:val="00606356"/>
    <w:rsid w:val="00610B5D"/>
    <w:rsid w:val="00642936"/>
    <w:rsid w:val="00643A42"/>
    <w:rsid w:val="006454DF"/>
    <w:rsid w:val="006526E8"/>
    <w:rsid w:val="0066298A"/>
    <w:rsid w:val="0066637F"/>
    <w:rsid w:val="006759D2"/>
    <w:rsid w:val="006868EC"/>
    <w:rsid w:val="00687235"/>
    <w:rsid w:val="0069387D"/>
    <w:rsid w:val="006B128A"/>
    <w:rsid w:val="006B2A8E"/>
    <w:rsid w:val="006D5E4D"/>
    <w:rsid w:val="006E355A"/>
    <w:rsid w:val="00703F64"/>
    <w:rsid w:val="00704F61"/>
    <w:rsid w:val="00710F65"/>
    <w:rsid w:val="00720CD6"/>
    <w:rsid w:val="007427DA"/>
    <w:rsid w:val="00743193"/>
    <w:rsid w:val="00744CAC"/>
    <w:rsid w:val="00745826"/>
    <w:rsid w:val="0074643C"/>
    <w:rsid w:val="00762FF5"/>
    <w:rsid w:val="00770B94"/>
    <w:rsid w:val="007905F1"/>
    <w:rsid w:val="00790A0C"/>
    <w:rsid w:val="007940E8"/>
    <w:rsid w:val="007A0CE0"/>
    <w:rsid w:val="007B799F"/>
    <w:rsid w:val="007C32A7"/>
    <w:rsid w:val="007D0974"/>
    <w:rsid w:val="007D7779"/>
    <w:rsid w:val="007E2B78"/>
    <w:rsid w:val="007E3D63"/>
    <w:rsid w:val="007E465E"/>
    <w:rsid w:val="007F6400"/>
    <w:rsid w:val="007F6C52"/>
    <w:rsid w:val="007F7522"/>
    <w:rsid w:val="008012E4"/>
    <w:rsid w:val="00802174"/>
    <w:rsid w:val="00840142"/>
    <w:rsid w:val="00851F80"/>
    <w:rsid w:val="008544B0"/>
    <w:rsid w:val="008615E7"/>
    <w:rsid w:val="00866FE3"/>
    <w:rsid w:val="00883763"/>
    <w:rsid w:val="00887664"/>
    <w:rsid w:val="008913BB"/>
    <w:rsid w:val="00891C54"/>
    <w:rsid w:val="00892B1D"/>
    <w:rsid w:val="008A0F74"/>
    <w:rsid w:val="008A7A86"/>
    <w:rsid w:val="008B43D4"/>
    <w:rsid w:val="008B76EF"/>
    <w:rsid w:val="008D35B2"/>
    <w:rsid w:val="008D52A2"/>
    <w:rsid w:val="008E0DB4"/>
    <w:rsid w:val="008E2921"/>
    <w:rsid w:val="008E3CA0"/>
    <w:rsid w:val="008E6577"/>
    <w:rsid w:val="008F0176"/>
    <w:rsid w:val="008F5B7E"/>
    <w:rsid w:val="00922161"/>
    <w:rsid w:val="00922E7C"/>
    <w:rsid w:val="00927BF4"/>
    <w:rsid w:val="0094020C"/>
    <w:rsid w:val="00954A02"/>
    <w:rsid w:val="009613A3"/>
    <w:rsid w:val="0097267B"/>
    <w:rsid w:val="0097324A"/>
    <w:rsid w:val="00994421"/>
    <w:rsid w:val="009A6F6E"/>
    <w:rsid w:val="009B6892"/>
    <w:rsid w:val="009C1685"/>
    <w:rsid w:val="009F454B"/>
    <w:rsid w:val="00A026B5"/>
    <w:rsid w:val="00A1001F"/>
    <w:rsid w:val="00A111E9"/>
    <w:rsid w:val="00A2085B"/>
    <w:rsid w:val="00A2617B"/>
    <w:rsid w:val="00A3141B"/>
    <w:rsid w:val="00A461C8"/>
    <w:rsid w:val="00A51C62"/>
    <w:rsid w:val="00A66696"/>
    <w:rsid w:val="00A82202"/>
    <w:rsid w:val="00A8226B"/>
    <w:rsid w:val="00A86D07"/>
    <w:rsid w:val="00AA6DD7"/>
    <w:rsid w:val="00AB0D87"/>
    <w:rsid w:val="00AE72B4"/>
    <w:rsid w:val="00AF0062"/>
    <w:rsid w:val="00AF5A6C"/>
    <w:rsid w:val="00AF7BE0"/>
    <w:rsid w:val="00B0561F"/>
    <w:rsid w:val="00B364A6"/>
    <w:rsid w:val="00B57289"/>
    <w:rsid w:val="00B714C9"/>
    <w:rsid w:val="00B76595"/>
    <w:rsid w:val="00B83599"/>
    <w:rsid w:val="00B930FD"/>
    <w:rsid w:val="00B94F7F"/>
    <w:rsid w:val="00B97CFC"/>
    <w:rsid w:val="00BA1794"/>
    <w:rsid w:val="00BA6DA9"/>
    <w:rsid w:val="00BC0B0D"/>
    <w:rsid w:val="00BC3772"/>
    <w:rsid w:val="00BC575B"/>
    <w:rsid w:val="00BD2922"/>
    <w:rsid w:val="00BE27B0"/>
    <w:rsid w:val="00BE74B8"/>
    <w:rsid w:val="00BE770D"/>
    <w:rsid w:val="00C0243B"/>
    <w:rsid w:val="00C049CF"/>
    <w:rsid w:val="00C1262C"/>
    <w:rsid w:val="00C13078"/>
    <w:rsid w:val="00C16FAC"/>
    <w:rsid w:val="00C21039"/>
    <w:rsid w:val="00C30969"/>
    <w:rsid w:val="00C31BF1"/>
    <w:rsid w:val="00C33052"/>
    <w:rsid w:val="00C41603"/>
    <w:rsid w:val="00C53BC3"/>
    <w:rsid w:val="00C628A6"/>
    <w:rsid w:val="00C64540"/>
    <w:rsid w:val="00C925E0"/>
    <w:rsid w:val="00CB150F"/>
    <w:rsid w:val="00CC1DF5"/>
    <w:rsid w:val="00CC232B"/>
    <w:rsid w:val="00CC3FCE"/>
    <w:rsid w:val="00CC6FFA"/>
    <w:rsid w:val="00CE2C74"/>
    <w:rsid w:val="00CF2FE7"/>
    <w:rsid w:val="00D04826"/>
    <w:rsid w:val="00D125F6"/>
    <w:rsid w:val="00D20E75"/>
    <w:rsid w:val="00D23C46"/>
    <w:rsid w:val="00D33D83"/>
    <w:rsid w:val="00D42D8E"/>
    <w:rsid w:val="00D55D45"/>
    <w:rsid w:val="00D57CF1"/>
    <w:rsid w:val="00D60E80"/>
    <w:rsid w:val="00D674D9"/>
    <w:rsid w:val="00D74400"/>
    <w:rsid w:val="00D81459"/>
    <w:rsid w:val="00D815E8"/>
    <w:rsid w:val="00D9209B"/>
    <w:rsid w:val="00D93970"/>
    <w:rsid w:val="00DA041F"/>
    <w:rsid w:val="00DA712E"/>
    <w:rsid w:val="00DB01A7"/>
    <w:rsid w:val="00DB292F"/>
    <w:rsid w:val="00DB4B62"/>
    <w:rsid w:val="00DB4BDB"/>
    <w:rsid w:val="00DE5365"/>
    <w:rsid w:val="00DF52AB"/>
    <w:rsid w:val="00DF7479"/>
    <w:rsid w:val="00DF7A63"/>
    <w:rsid w:val="00E07F56"/>
    <w:rsid w:val="00E1349A"/>
    <w:rsid w:val="00E2045B"/>
    <w:rsid w:val="00E26E0A"/>
    <w:rsid w:val="00E318DC"/>
    <w:rsid w:val="00E33186"/>
    <w:rsid w:val="00E370A4"/>
    <w:rsid w:val="00E44D33"/>
    <w:rsid w:val="00E508DD"/>
    <w:rsid w:val="00E659FA"/>
    <w:rsid w:val="00E66B25"/>
    <w:rsid w:val="00E71199"/>
    <w:rsid w:val="00E74BAE"/>
    <w:rsid w:val="00E821D3"/>
    <w:rsid w:val="00E906AB"/>
    <w:rsid w:val="00E91414"/>
    <w:rsid w:val="00E920B0"/>
    <w:rsid w:val="00E92794"/>
    <w:rsid w:val="00EA45B1"/>
    <w:rsid w:val="00EA686C"/>
    <w:rsid w:val="00EB7517"/>
    <w:rsid w:val="00EC6123"/>
    <w:rsid w:val="00EC76D3"/>
    <w:rsid w:val="00EF384A"/>
    <w:rsid w:val="00EF3CD1"/>
    <w:rsid w:val="00EF5D46"/>
    <w:rsid w:val="00F00323"/>
    <w:rsid w:val="00F04D66"/>
    <w:rsid w:val="00F06912"/>
    <w:rsid w:val="00F227E4"/>
    <w:rsid w:val="00F263CE"/>
    <w:rsid w:val="00F31B91"/>
    <w:rsid w:val="00F424C3"/>
    <w:rsid w:val="00F710F5"/>
    <w:rsid w:val="00F7224F"/>
    <w:rsid w:val="00F74A25"/>
    <w:rsid w:val="00F75F8E"/>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rPr>
  </w:style>
  <w:style w:type="character" w:customStyle="1" w:styleId="BrdtekstTegn">
    <w:name w:val="Brødtekst Tegn"/>
    <w:basedOn w:val="Standardskrifttypeiafsnit"/>
    <w:link w:val="Brdtekst"/>
    <w:rsid w:val="00851F80"/>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E1A5B66966E54FA7270CE56A0A8EA3" ma:contentTypeVersion="13" ma:contentTypeDescription="Opret et nyt dokument." ma:contentTypeScope="" ma:versionID="d8f2f6d1153079abe7894377292676a3">
  <xsd:schema xmlns:xsd="http://www.w3.org/2001/XMLSchema" xmlns:xs="http://www.w3.org/2001/XMLSchema" xmlns:p="http://schemas.microsoft.com/office/2006/metadata/properties" xmlns:ns3="67959387-b910-47a5-8301-8f4f5bdf62fb" xmlns:ns4="2d946ae7-885a-4d21-ae44-0b7dc22704af" targetNamespace="http://schemas.microsoft.com/office/2006/metadata/properties" ma:root="true" ma:fieldsID="a8ce5d96308cf34ed12351f5fd733e6e" ns3:_="" ns4:_="">
    <xsd:import namespace="67959387-b910-47a5-8301-8f4f5bdf62fb"/>
    <xsd:import namespace="2d946ae7-885a-4d21-ae44-0b7dc22704a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387-b910-47a5-8301-8f4f5bd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46ae7-885a-4d21-ae44-0b7dc22704a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3EB6-F7D2-4B96-B74C-583027A1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387-b910-47a5-8301-8f4f5bdf62fb"/>
    <ds:schemaRef ds:uri="2d946ae7-885a-4d21-ae44-0b7dc2270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4.xml><?xml version="1.0" encoding="utf-8"?>
<ds:datastoreItem xmlns:ds="http://schemas.openxmlformats.org/officeDocument/2006/customXml" ds:itemID="{A8425E05-18F7-4E0A-A858-742592D5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1617</Words>
  <Characters>9868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Sekretariatet</cp:lastModifiedBy>
  <cp:revision>53</cp:revision>
  <cp:lastPrinted>2023-06-23T09:54:00Z</cp:lastPrinted>
  <dcterms:created xsi:type="dcterms:W3CDTF">2020-09-24T08:47:00Z</dcterms:created>
  <dcterms:modified xsi:type="dcterms:W3CDTF">2023-06-23T10:40:00Z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0x0101001CE1A5B66966E54FA7270CE56A0A8EA3</vt:lpwstr>
  </property>
</Properties>
</file>